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1"/>
        <w:rPr>
          <w:sz w:val="16"/>
        </w:rPr>
      </w:pPr>
    </w:p>
    <w:p>
      <w:pPr>
        <w:pStyle w:val="BodyText"/>
        <w:spacing w:before="90"/>
        <w:ind w:right="106"/>
        <w:jc w:val="right"/>
      </w:pPr>
      <w:bookmarkStart w:name="Tiranë, më 17 Janar 2023" w:id="1"/>
      <w:bookmarkEnd w:id="1"/>
      <w:r>
        <w:rPr/>
      </w:r>
      <w:r>
        <w:rPr/>
        <w:t>Tiranë,</w:t>
      </w:r>
      <w:r>
        <w:rPr>
          <w:spacing w:val="-2"/>
        </w:rPr>
        <w:t> </w:t>
      </w:r>
      <w:r>
        <w:rPr/>
        <w:t>më</w:t>
      </w:r>
      <w:r>
        <w:rPr>
          <w:spacing w:val="-2"/>
        </w:rPr>
        <w:t> </w:t>
      </w:r>
      <w:r>
        <w:rPr/>
        <w:t>17</w:t>
      </w:r>
      <w:r>
        <w:rPr>
          <w:spacing w:val="-1"/>
        </w:rPr>
        <w:t> </w:t>
      </w:r>
      <w:r>
        <w:rPr/>
        <w:t>Janar</w:t>
      </w:r>
      <w:r>
        <w:rPr>
          <w:spacing w:val="-2"/>
        </w:rPr>
        <w:t> </w:t>
      </w:r>
      <w:r>
        <w:rPr>
          <w:spacing w:val="-4"/>
        </w:rPr>
        <w:t>2023</w:t>
      </w:r>
    </w:p>
    <w:p>
      <w:pPr>
        <w:pStyle w:val="BodyText"/>
        <w:spacing w:before="5"/>
      </w:pPr>
    </w:p>
    <w:p>
      <w:pPr>
        <w:spacing w:before="0"/>
        <w:ind w:left="3405" w:right="0" w:hanging="3070"/>
        <w:jc w:val="left"/>
        <w:rPr>
          <w:b/>
          <w:sz w:val="24"/>
        </w:rPr>
      </w:pPr>
      <w:bookmarkStart w:name="Reagim i përbashkët i një grupimi organi" w:id="2"/>
      <w:bookmarkEnd w:id="2"/>
      <w:r>
        <w:rPr/>
      </w:r>
      <w:r>
        <w:rPr>
          <w:b/>
          <w:sz w:val="24"/>
        </w:rPr>
        <w:t>Reagim</w:t>
      </w:r>
      <w:r>
        <w:rPr>
          <w:b/>
          <w:spacing w:val="-7"/>
          <w:sz w:val="24"/>
        </w:rPr>
        <w:t> </w:t>
      </w:r>
      <w:r>
        <w:rPr>
          <w:b/>
          <w:sz w:val="24"/>
        </w:rPr>
        <w:t>i</w:t>
      </w:r>
      <w:r>
        <w:rPr>
          <w:b/>
          <w:spacing w:val="-3"/>
          <w:sz w:val="24"/>
        </w:rPr>
        <w:t> </w:t>
      </w:r>
      <w:r>
        <w:rPr>
          <w:b/>
          <w:sz w:val="24"/>
        </w:rPr>
        <w:t>përbashkët</w:t>
      </w:r>
      <w:r>
        <w:rPr>
          <w:b/>
          <w:spacing w:val="-4"/>
          <w:sz w:val="24"/>
        </w:rPr>
        <w:t> </w:t>
      </w:r>
      <w:r>
        <w:rPr>
          <w:b/>
          <w:sz w:val="24"/>
        </w:rPr>
        <w:t>i</w:t>
      </w:r>
      <w:r>
        <w:rPr>
          <w:b/>
          <w:spacing w:val="-3"/>
          <w:sz w:val="24"/>
        </w:rPr>
        <w:t> </w:t>
      </w:r>
      <w:r>
        <w:rPr>
          <w:b/>
          <w:sz w:val="24"/>
        </w:rPr>
        <w:t>një</w:t>
      </w:r>
      <w:r>
        <w:rPr>
          <w:b/>
          <w:spacing w:val="-4"/>
          <w:sz w:val="24"/>
        </w:rPr>
        <w:t> </w:t>
      </w:r>
      <w:r>
        <w:rPr>
          <w:b/>
          <w:sz w:val="24"/>
        </w:rPr>
        <w:t>grupimi</w:t>
      </w:r>
      <w:r>
        <w:rPr>
          <w:b/>
          <w:spacing w:val="-3"/>
          <w:sz w:val="24"/>
        </w:rPr>
        <w:t> </w:t>
      </w:r>
      <w:r>
        <w:rPr>
          <w:b/>
          <w:sz w:val="24"/>
        </w:rPr>
        <w:t>organizatash</w:t>
      </w:r>
      <w:r>
        <w:rPr>
          <w:b/>
          <w:spacing w:val="-3"/>
          <w:sz w:val="24"/>
        </w:rPr>
        <w:t> </w:t>
      </w:r>
      <w:r>
        <w:rPr>
          <w:b/>
          <w:sz w:val="24"/>
        </w:rPr>
        <w:t>të</w:t>
      </w:r>
      <w:r>
        <w:rPr>
          <w:b/>
          <w:spacing w:val="-4"/>
          <w:sz w:val="24"/>
        </w:rPr>
        <w:t> </w:t>
      </w:r>
      <w:r>
        <w:rPr>
          <w:b/>
          <w:sz w:val="24"/>
        </w:rPr>
        <w:t>shoqërisë</w:t>
      </w:r>
      <w:r>
        <w:rPr>
          <w:b/>
          <w:spacing w:val="-4"/>
          <w:sz w:val="24"/>
        </w:rPr>
        <w:t> </w:t>
      </w:r>
      <w:r>
        <w:rPr>
          <w:b/>
          <w:sz w:val="24"/>
        </w:rPr>
        <w:t>civile</w:t>
      </w:r>
      <w:r>
        <w:rPr>
          <w:b/>
          <w:spacing w:val="-4"/>
          <w:sz w:val="24"/>
        </w:rPr>
        <w:t> </w:t>
      </w:r>
      <w:r>
        <w:rPr>
          <w:b/>
          <w:sz w:val="24"/>
        </w:rPr>
        <w:t>për</w:t>
      </w:r>
      <w:r>
        <w:rPr>
          <w:b/>
          <w:spacing w:val="-2"/>
          <w:sz w:val="24"/>
        </w:rPr>
        <w:t> </w:t>
      </w:r>
      <w:r>
        <w:rPr>
          <w:b/>
          <w:sz w:val="24"/>
        </w:rPr>
        <w:t>Zgjedhje</w:t>
      </w:r>
      <w:r>
        <w:rPr>
          <w:b/>
          <w:spacing w:val="-2"/>
          <w:sz w:val="24"/>
        </w:rPr>
        <w:t> </w:t>
      </w:r>
      <w:r>
        <w:rPr>
          <w:b/>
          <w:sz w:val="24"/>
        </w:rPr>
        <w:t>të Lira dhe të Ndershme</w:t>
      </w:r>
    </w:p>
    <w:p>
      <w:pPr>
        <w:pStyle w:val="BodyText"/>
        <w:rPr>
          <w:b/>
        </w:rPr>
      </w:pPr>
    </w:p>
    <w:p>
      <w:pPr>
        <w:spacing w:before="0"/>
        <w:ind w:left="117" w:right="0" w:firstLine="0"/>
        <w:jc w:val="left"/>
        <w:rPr>
          <w:b/>
          <w:sz w:val="24"/>
        </w:rPr>
      </w:pPr>
      <w:bookmarkStart w:name="Hyrje" w:id="3"/>
      <w:bookmarkEnd w:id="3"/>
      <w:r>
        <w:rPr/>
      </w:r>
      <w:r>
        <w:rPr>
          <w:b/>
          <w:spacing w:val="-2"/>
          <w:sz w:val="24"/>
        </w:rPr>
        <w:t>Hyrje</w:t>
      </w:r>
    </w:p>
    <w:p>
      <w:pPr>
        <w:pStyle w:val="BodyText"/>
        <w:spacing w:before="5"/>
        <w:rPr>
          <w:b/>
          <w:sz w:val="20"/>
        </w:rPr>
      </w:pPr>
    </w:p>
    <w:p>
      <w:pPr>
        <w:pStyle w:val="BodyText"/>
        <w:ind w:left="119" w:right="103" w:hanging="3"/>
        <w:jc w:val="both"/>
      </w:pPr>
      <w:bookmarkStart w:name="Ne, një grup i organizatave të shoqërisë" w:id="4"/>
      <w:bookmarkEnd w:id="4"/>
      <w:r>
        <w:rPr/>
      </w:r>
      <w:r>
        <w:rPr/>
        <w:t>Ne,</w:t>
      </w:r>
      <w:r>
        <w:rPr>
          <w:spacing w:val="-10"/>
        </w:rPr>
        <w:t> </w:t>
      </w:r>
      <w:r>
        <w:rPr/>
        <w:t>një</w:t>
      </w:r>
      <w:r>
        <w:rPr>
          <w:spacing w:val="-11"/>
        </w:rPr>
        <w:t> </w:t>
      </w:r>
      <w:r>
        <w:rPr/>
        <w:t>grup</w:t>
      </w:r>
      <w:r>
        <w:rPr>
          <w:spacing w:val="-10"/>
        </w:rPr>
        <w:t> </w:t>
      </w:r>
      <w:r>
        <w:rPr/>
        <w:t>i</w:t>
      </w:r>
      <w:r>
        <w:rPr>
          <w:spacing w:val="-9"/>
        </w:rPr>
        <w:t> </w:t>
      </w:r>
      <w:r>
        <w:rPr/>
        <w:t>organizatave</w:t>
      </w:r>
      <w:r>
        <w:rPr>
          <w:spacing w:val="-11"/>
        </w:rPr>
        <w:t> </w:t>
      </w:r>
      <w:r>
        <w:rPr/>
        <w:t>të</w:t>
      </w:r>
      <w:r>
        <w:rPr>
          <w:spacing w:val="-11"/>
        </w:rPr>
        <w:t> </w:t>
      </w:r>
      <w:r>
        <w:rPr/>
        <w:t>shoqërisë</w:t>
      </w:r>
      <w:r>
        <w:rPr>
          <w:spacing w:val="-11"/>
        </w:rPr>
        <w:t> </w:t>
      </w:r>
      <w:r>
        <w:rPr/>
        <w:t>civile,</w:t>
      </w:r>
      <w:r>
        <w:rPr>
          <w:spacing w:val="-10"/>
        </w:rPr>
        <w:t> </w:t>
      </w:r>
      <w:r>
        <w:rPr/>
        <w:t>në</w:t>
      </w:r>
      <w:r>
        <w:rPr>
          <w:spacing w:val="-8"/>
        </w:rPr>
        <w:t> </w:t>
      </w:r>
      <w:r>
        <w:rPr/>
        <w:t>fokus</w:t>
      </w:r>
      <w:r>
        <w:rPr>
          <w:spacing w:val="-9"/>
        </w:rPr>
        <w:t> </w:t>
      </w:r>
      <w:r>
        <w:rPr/>
        <w:t>të</w:t>
      </w:r>
      <w:r>
        <w:rPr>
          <w:spacing w:val="-11"/>
        </w:rPr>
        <w:t> </w:t>
      </w:r>
      <w:r>
        <w:rPr/>
        <w:t>misionit</w:t>
      </w:r>
      <w:r>
        <w:rPr>
          <w:spacing w:val="-9"/>
        </w:rPr>
        <w:t> </w:t>
      </w:r>
      <w:r>
        <w:rPr/>
        <w:t>të</w:t>
      </w:r>
      <w:r>
        <w:rPr>
          <w:spacing w:val="-11"/>
        </w:rPr>
        <w:t> </w:t>
      </w:r>
      <w:r>
        <w:rPr/>
        <w:t>të</w:t>
      </w:r>
      <w:r>
        <w:rPr>
          <w:spacing w:val="-11"/>
        </w:rPr>
        <w:t> </w:t>
      </w:r>
      <w:r>
        <w:rPr/>
        <w:t>cilave</w:t>
      </w:r>
      <w:r>
        <w:rPr>
          <w:spacing w:val="-11"/>
        </w:rPr>
        <w:t> </w:t>
      </w:r>
      <w:r>
        <w:rPr/>
        <w:t>është</w:t>
      </w:r>
      <w:r>
        <w:rPr>
          <w:spacing w:val="-11"/>
        </w:rPr>
        <w:t> </w:t>
      </w:r>
      <w:r>
        <w:rPr/>
        <w:t>mbrojtja e të drejtave të njeriut dhe garantimi i zhvillimit të zgjedhjeve të lira dhe të ndershme, në përputhje me Kushtetutën dhe standartet ndërkombëtare, po monitorojmë proaktivisht procesin zgjedhor për organet e qeverisjes vendore të datës 14 Maj 2023.</w:t>
      </w:r>
    </w:p>
    <w:p>
      <w:pPr>
        <w:pStyle w:val="BodyText"/>
        <w:spacing w:before="10"/>
        <w:rPr>
          <w:sz w:val="20"/>
        </w:rPr>
      </w:pPr>
    </w:p>
    <w:p>
      <w:pPr>
        <w:pStyle w:val="BodyText"/>
        <w:ind w:left="119" w:right="103" w:hanging="3"/>
        <w:jc w:val="both"/>
      </w:pPr>
      <w:bookmarkStart w:name="Shqipëria ka nisur tashmë bisedimet për " w:id="5"/>
      <w:bookmarkEnd w:id="5"/>
      <w:r>
        <w:rPr/>
      </w:r>
      <w:r>
        <w:rPr/>
        <w:t>Shqipëria</w:t>
      </w:r>
      <w:r>
        <w:rPr>
          <w:spacing w:val="-2"/>
        </w:rPr>
        <w:t> </w:t>
      </w:r>
      <w:r>
        <w:rPr/>
        <w:t>ka</w:t>
      </w:r>
      <w:r>
        <w:rPr>
          <w:spacing w:val="-2"/>
        </w:rPr>
        <w:t> </w:t>
      </w:r>
      <w:r>
        <w:rPr/>
        <w:t>nisur</w:t>
      </w:r>
      <w:r>
        <w:rPr>
          <w:spacing w:val="-2"/>
        </w:rPr>
        <w:t> </w:t>
      </w:r>
      <w:r>
        <w:rPr/>
        <w:t>tashmë</w:t>
      </w:r>
      <w:r>
        <w:rPr>
          <w:spacing w:val="-2"/>
        </w:rPr>
        <w:t> </w:t>
      </w:r>
      <w:r>
        <w:rPr/>
        <w:t>bisedimet</w:t>
      </w:r>
      <w:r>
        <w:rPr>
          <w:spacing w:val="-1"/>
        </w:rPr>
        <w:t> </w:t>
      </w:r>
      <w:r>
        <w:rPr/>
        <w:t>për</w:t>
      </w:r>
      <w:r>
        <w:rPr>
          <w:spacing w:val="-2"/>
        </w:rPr>
        <w:t> </w:t>
      </w:r>
      <w:r>
        <w:rPr/>
        <w:t>anëtarësim</w:t>
      </w:r>
      <w:r>
        <w:rPr>
          <w:spacing w:val="-1"/>
        </w:rPr>
        <w:t> </w:t>
      </w:r>
      <w:r>
        <w:rPr/>
        <w:t>në</w:t>
      </w:r>
      <w:r>
        <w:rPr>
          <w:spacing w:val="-2"/>
        </w:rPr>
        <w:t> </w:t>
      </w:r>
      <w:r>
        <w:rPr/>
        <w:t>BE</w:t>
      </w:r>
      <w:r>
        <w:rPr>
          <w:spacing w:val="-1"/>
        </w:rPr>
        <w:t> </w:t>
      </w:r>
      <w:r>
        <w:rPr/>
        <w:t>dhe</w:t>
      </w:r>
      <w:r>
        <w:rPr>
          <w:spacing w:val="-2"/>
        </w:rPr>
        <w:t> </w:t>
      </w:r>
      <w:r>
        <w:rPr/>
        <w:t>zgjedhjet</w:t>
      </w:r>
      <w:r>
        <w:rPr>
          <w:spacing w:val="-1"/>
        </w:rPr>
        <w:t> </w:t>
      </w:r>
      <w:r>
        <w:rPr/>
        <w:t>lokale</w:t>
      </w:r>
      <w:r>
        <w:rPr>
          <w:spacing w:val="-2"/>
        </w:rPr>
        <w:t> </w:t>
      </w:r>
      <w:r>
        <w:rPr/>
        <w:t>janë</w:t>
      </w:r>
      <w:r>
        <w:rPr>
          <w:spacing w:val="-2"/>
        </w:rPr>
        <w:t> </w:t>
      </w:r>
      <w:r>
        <w:rPr/>
        <w:t>procesi i parë elektoral pas kësaj etape, ndaj ato janë një test i rëndësishëm i shtetit ligjor dhe për aftësinë e një sërë aktorësh institucionalë, përfshi partitë politike, për të krijuar e zbatuar standarde</w:t>
      </w:r>
      <w:r>
        <w:rPr>
          <w:spacing w:val="-4"/>
        </w:rPr>
        <w:t> </w:t>
      </w:r>
      <w:r>
        <w:rPr/>
        <w:t>më</w:t>
      </w:r>
      <w:r>
        <w:rPr>
          <w:spacing w:val="-4"/>
        </w:rPr>
        <w:t> </w:t>
      </w:r>
      <w:r>
        <w:rPr/>
        <w:t>të</w:t>
      </w:r>
      <w:r>
        <w:rPr>
          <w:spacing w:val="-4"/>
        </w:rPr>
        <w:t> </w:t>
      </w:r>
      <w:r>
        <w:rPr/>
        <w:t>larta</w:t>
      </w:r>
      <w:r>
        <w:rPr>
          <w:spacing w:val="-4"/>
        </w:rPr>
        <w:t> </w:t>
      </w:r>
      <w:r>
        <w:rPr/>
        <w:t>zgjedhore</w:t>
      </w:r>
      <w:r>
        <w:rPr>
          <w:spacing w:val="-4"/>
        </w:rPr>
        <w:t> </w:t>
      </w:r>
      <w:r>
        <w:rPr/>
        <w:t>sesa</w:t>
      </w:r>
      <w:r>
        <w:rPr>
          <w:spacing w:val="-4"/>
        </w:rPr>
        <w:t> </w:t>
      </w:r>
      <w:r>
        <w:rPr/>
        <w:t>në</w:t>
      </w:r>
      <w:r>
        <w:rPr>
          <w:spacing w:val="-4"/>
        </w:rPr>
        <w:t> </w:t>
      </w:r>
      <w:r>
        <w:rPr/>
        <w:t>zgjedhjet</w:t>
      </w:r>
      <w:r>
        <w:rPr>
          <w:spacing w:val="-3"/>
        </w:rPr>
        <w:t> </w:t>
      </w:r>
      <w:r>
        <w:rPr/>
        <w:t>e</w:t>
      </w:r>
      <w:r>
        <w:rPr>
          <w:spacing w:val="-4"/>
        </w:rPr>
        <w:t> </w:t>
      </w:r>
      <w:r>
        <w:rPr/>
        <w:t>kaluara.</w:t>
      </w:r>
      <w:r>
        <w:rPr>
          <w:spacing w:val="-1"/>
        </w:rPr>
        <w:t> </w:t>
      </w:r>
      <w:r>
        <w:rPr/>
        <w:t>Zgjedhjet</w:t>
      </w:r>
      <w:r>
        <w:rPr>
          <w:spacing w:val="-3"/>
        </w:rPr>
        <w:t> </w:t>
      </w:r>
      <w:r>
        <w:rPr/>
        <w:t>e</w:t>
      </w:r>
      <w:r>
        <w:rPr>
          <w:spacing w:val="-4"/>
        </w:rPr>
        <w:t> </w:t>
      </w:r>
      <w:r>
        <w:rPr/>
        <w:t>lira</w:t>
      </w:r>
      <w:r>
        <w:rPr>
          <w:spacing w:val="-4"/>
        </w:rPr>
        <w:t> </w:t>
      </w:r>
      <w:r>
        <w:rPr/>
        <w:t>dhe</w:t>
      </w:r>
      <w:r>
        <w:rPr>
          <w:spacing w:val="-4"/>
        </w:rPr>
        <w:t> </w:t>
      </w:r>
      <w:r>
        <w:rPr/>
        <w:t>të</w:t>
      </w:r>
      <w:r>
        <w:rPr>
          <w:spacing w:val="-4"/>
        </w:rPr>
        <w:t> </w:t>
      </w:r>
      <w:r>
        <w:rPr/>
        <w:t>ndershme janë parakusht për një sistem demokracie funksionale.</w:t>
      </w:r>
    </w:p>
    <w:p>
      <w:pPr>
        <w:pStyle w:val="BodyText"/>
        <w:spacing w:before="10"/>
        <w:rPr>
          <w:sz w:val="20"/>
        </w:rPr>
      </w:pPr>
    </w:p>
    <w:p>
      <w:pPr>
        <w:pStyle w:val="BodyText"/>
        <w:ind w:left="119" w:right="101" w:hanging="3"/>
        <w:jc w:val="both"/>
      </w:pPr>
      <w:bookmarkStart w:name="Organizatat e shoqërisë civile vlerësojn" w:id="6"/>
      <w:bookmarkEnd w:id="6"/>
      <w:r>
        <w:rPr/>
      </w:r>
      <w:r>
        <w:rPr/>
        <w:t>Organizatat</w:t>
      </w:r>
      <w:r>
        <w:rPr>
          <w:spacing w:val="-7"/>
        </w:rPr>
        <w:t> </w:t>
      </w:r>
      <w:r>
        <w:rPr/>
        <w:t>e</w:t>
      </w:r>
      <w:r>
        <w:rPr>
          <w:spacing w:val="-8"/>
        </w:rPr>
        <w:t> </w:t>
      </w:r>
      <w:r>
        <w:rPr/>
        <w:t>shoqërisë</w:t>
      </w:r>
      <w:r>
        <w:rPr>
          <w:spacing w:val="-6"/>
        </w:rPr>
        <w:t> </w:t>
      </w:r>
      <w:r>
        <w:rPr/>
        <w:t>civile</w:t>
      </w:r>
      <w:r>
        <w:rPr>
          <w:spacing w:val="-8"/>
        </w:rPr>
        <w:t> </w:t>
      </w:r>
      <w:r>
        <w:rPr/>
        <w:t>vlerësojnë</w:t>
      </w:r>
      <w:r>
        <w:rPr>
          <w:spacing w:val="-8"/>
        </w:rPr>
        <w:t> </w:t>
      </w:r>
      <w:r>
        <w:rPr/>
        <w:t>në</w:t>
      </w:r>
      <w:r>
        <w:rPr>
          <w:spacing w:val="-8"/>
        </w:rPr>
        <w:t> </w:t>
      </w:r>
      <w:r>
        <w:rPr/>
        <w:t>mënyrë</w:t>
      </w:r>
      <w:r>
        <w:rPr>
          <w:spacing w:val="-8"/>
        </w:rPr>
        <w:t> </w:t>
      </w:r>
      <w:r>
        <w:rPr/>
        <w:t>pozitive</w:t>
      </w:r>
      <w:r>
        <w:rPr>
          <w:spacing w:val="-8"/>
        </w:rPr>
        <w:t> </w:t>
      </w:r>
      <w:r>
        <w:rPr/>
        <w:t>bashkëpunimin</w:t>
      </w:r>
      <w:r>
        <w:rPr>
          <w:spacing w:val="-7"/>
        </w:rPr>
        <w:t> </w:t>
      </w:r>
      <w:r>
        <w:rPr/>
        <w:t>me</w:t>
      </w:r>
      <w:r>
        <w:rPr>
          <w:spacing w:val="-8"/>
        </w:rPr>
        <w:t> </w:t>
      </w:r>
      <w:r>
        <w:rPr/>
        <w:t>Komisionin Qendror të Zgjedhjeve, ndërkohë që vlerësojmë se përpjekje të mëtejshme nevojiten për të forcuar këtë bashkëpunim si dhe rritjen e mëtejshme të nismës së KQZ-së për aplikimin e sanksioneve në rastet kur shkelet Kodi Zgjedhor. Gjatë monitorimit të proceseve të mëparshme zgjedhore janë vërejtur ndasi të dukshme mes anëtarëve të një prej organeve drejtuese të KQZ-së, përkatësisht KAS. Sugjerojmë marrjen e masave për nxitjen e bashkëpunimit ndërmjet vetë anëtarëve të KAS, në kuadër të forcimit të paanshmërisë dhe paanësisë në vendimmarrjet e këtij organi.</w:t>
      </w:r>
    </w:p>
    <w:p>
      <w:pPr>
        <w:pStyle w:val="BodyText"/>
        <w:spacing w:before="10"/>
        <w:rPr>
          <w:sz w:val="20"/>
        </w:rPr>
      </w:pPr>
    </w:p>
    <w:p>
      <w:pPr>
        <w:pStyle w:val="BodyText"/>
        <w:ind w:left="119" w:right="102" w:hanging="3"/>
        <w:jc w:val="both"/>
      </w:pPr>
      <w:bookmarkStart w:name="Në dy dekadat e fundit, reforma zgjedhor" w:id="7"/>
      <w:bookmarkEnd w:id="7"/>
      <w:r>
        <w:rPr/>
      </w:r>
      <w:r>
        <w:rPr/>
        <w:t>Në dy dekadat e fundit, reforma zgjedhore vijon të mbetet monopol i partive kryesore politike, duke mos respektuar standardet e transparencës, konsultimit dhe gjithëpërfshirjes, veçanërisht me organizatat e shoqërisë civile. Rasti më i fundit ishte viti 2020 kur Kuvendi miratoi në një hark të ngushtë kohor, pa studim të thelluar dhe qasje efektive konsultimi gjithpërfshirëse, ndryshimin e neneve 64 dhe 68 të Kushtetutës që sollën ndryshimin e sistemit</w:t>
      </w:r>
      <w:r>
        <w:rPr>
          <w:spacing w:val="-2"/>
        </w:rPr>
        <w:t> </w:t>
      </w:r>
      <w:r>
        <w:rPr/>
        <w:t>zgjedhor</w:t>
      </w:r>
      <w:r>
        <w:rPr>
          <w:spacing w:val="-1"/>
        </w:rPr>
        <w:t> </w:t>
      </w:r>
      <w:r>
        <w:rPr/>
        <w:t>dhe</w:t>
      </w:r>
      <w:r>
        <w:rPr>
          <w:spacing w:val="-1"/>
        </w:rPr>
        <w:t> </w:t>
      </w:r>
      <w:r>
        <w:rPr/>
        <w:t>ndryshime</w:t>
      </w:r>
      <w:r>
        <w:rPr>
          <w:spacing w:val="-1"/>
        </w:rPr>
        <w:t> </w:t>
      </w:r>
      <w:r>
        <w:rPr/>
        <w:t>të</w:t>
      </w:r>
      <w:r>
        <w:rPr>
          <w:spacing w:val="-1"/>
        </w:rPr>
        <w:t> </w:t>
      </w:r>
      <w:r>
        <w:rPr/>
        <w:t>mëtejshme</w:t>
      </w:r>
      <w:r>
        <w:rPr>
          <w:spacing w:val="-1"/>
        </w:rPr>
        <w:t> </w:t>
      </w:r>
      <w:r>
        <w:rPr/>
        <w:t>në Kodin Zgjedhor, si dhe</w:t>
      </w:r>
      <w:r>
        <w:rPr>
          <w:spacing w:val="-1"/>
        </w:rPr>
        <w:t> </w:t>
      </w:r>
      <w:r>
        <w:rPr/>
        <w:t>kur</w:t>
      </w:r>
      <w:r>
        <w:rPr>
          <w:spacing w:val="-1"/>
        </w:rPr>
        <w:t> </w:t>
      </w:r>
      <w:r>
        <w:rPr/>
        <w:t>gjatë</w:t>
      </w:r>
      <w:r>
        <w:rPr>
          <w:spacing w:val="-1"/>
        </w:rPr>
        <w:t> </w:t>
      </w:r>
      <w:r>
        <w:rPr/>
        <w:t>të</w:t>
      </w:r>
      <w:r>
        <w:rPr>
          <w:spacing w:val="-1"/>
        </w:rPr>
        <w:t> </w:t>
      </w:r>
      <w:r>
        <w:rPr/>
        <w:t>njëjtit vit</w:t>
      </w:r>
      <w:r>
        <w:rPr>
          <w:spacing w:val="-7"/>
        </w:rPr>
        <w:t> </w:t>
      </w:r>
      <w:r>
        <w:rPr/>
        <w:t>u</w:t>
      </w:r>
      <w:r>
        <w:rPr>
          <w:spacing w:val="-7"/>
        </w:rPr>
        <w:t> </w:t>
      </w:r>
      <w:r>
        <w:rPr/>
        <w:t>bënë</w:t>
      </w:r>
      <w:r>
        <w:rPr>
          <w:spacing w:val="-6"/>
        </w:rPr>
        <w:t> </w:t>
      </w:r>
      <w:r>
        <w:rPr/>
        <w:t>ndërhyrje</w:t>
      </w:r>
      <w:r>
        <w:rPr>
          <w:spacing w:val="-8"/>
        </w:rPr>
        <w:t> </w:t>
      </w:r>
      <w:r>
        <w:rPr/>
        <w:t>të</w:t>
      </w:r>
      <w:r>
        <w:rPr>
          <w:spacing w:val="-6"/>
        </w:rPr>
        <w:t> </w:t>
      </w:r>
      <w:r>
        <w:rPr/>
        <w:t>tjera</w:t>
      </w:r>
      <w:r>
        <w:rPr>
          <w:spacing w:val="-8"/>
        </w:rPr>
        <w:t> </w:t>
      </w:r>
      <w:r>
        <w:rPr/>
        <w:t>kritike</w:t>
      </w:r>
      <w:r>
        <w:rPr>
          <w:spacing w:val="-6"/>
        </w:rPr>
        <w:t> </w:t>
      </w:r>
      <w:r>
        <w:rPr/>
        <w:t>në</w:t>
      </w:r>
      <w:r>
        <w:rPr>
          <w:spacing w:val="-6"/>
        </w:rPr>
        <w:t> </w:t>
      </w:r>
      <w:r>
        <w:rPr/>
        <w:t>Kodin</w:t>
      </w:r>
      <w:r>
        <w:rPr>
          <w:spacing w:val="-5"/>
        </w:rPr>
        <w:t> </w:t>
      </w:r>
      <w:r>
        <w:rPr/>
        <w:t>Zgjedhor,</w:t>
      </w:r>
      <w:r>
        <w:rPr>
          <w:spacing w:val="-7"/>
        </w:rPr>
        <w:t> </w:t>
      </w:r>
      <w:r>
        <w:rPr/>
        <w:t>ku</w:t>
      </w:r>
      <w:r>
        <w:rPr>
          <w:spacing w:val="-7"/>
        </w:rPr>
        <w:t> </w:t>
      </w:r>
      <w:r>
        <w:rPr/>
        <w:t>parashikime</w:t>
      </w:r>
      <w:r>
        <w:rPr>
          <w:spacing w:val="-8"/>
        </w:rPr>
        <w:t> </w:t>
      </w:r>
      <w:r>
        <w:rPr/>
        <w:t>të</w:t>
      </w:r>
      <w:r>
        <w:rPr>
          <w:spacing w:val="-8"/>
        </w:rPr>
        <w:t> </w:t>
      </w:r>
      <w:r>
        <w:rPr/>
        <w:t>caktuara</w:t>
      </w:r>
      <w:r>
        <w:rPr>
          <w:spacing w:val="-8"/>
        </w:rPr>
        <w:t> </w:t>
      </w:r>
      <w:r>
        <w:rPr/>
        <w:t>u</w:t>
      </w:r>
      <w:r>
        <w:rPr>
          <w:spacing w:val="-2"/>
        </w:rPr>
        <w:t> </w:t>
      </w:r>
      <w:r>
        <w:rPr/>
        <w:t>goditën dhe pjesërisht u shfuqizuan si antikushtetuese nga Gjykata Kushtetuese</w:t>
      </w:r>
      <w:hyperlink w:history="true" w:anchor="_bookmark0">
        <w:r>
          <w:rPr>
            <w:vertAlign w:val="superscript"/>
          </w:rPr>
          <w:t>1</w:t>
        </w:r>
      </w:hyperlink>
      <w:r>
        <w:rPr>
          <w:vertAlign w:val="baseline"/>
        </w:rPr>
        <w:t> Vlen të theksohet gjithashtu se teksa vendi po shkon në zgjedhjet vendore 2023, Komisioni i Posaçëm për Reformën Zgjedhore nuk mundësoi deri më sot, realizimin e një reforme zgjedhore, qoftë edhe të pjesshme, përpara këtyre zgjedhjeve.</w:t>
      </w:r>
    </w:p>
    <w:p>
      <w:pPr>
        <w:pStyle w:val="BodyText"/>
        <w:rPr>
          <w:sz w:val="20"/>
        </w:rPr>
      </w:pPr>
    </w:p>
    <w:p>
      <w:pPr>
        <w:pStyle w:val="BodyText"/>
        <w:rPr>
          <w:sz w:val="20"/>
        </w:rPr>
      </w:pPr>
    </w:p>
    <w:p>
      <w:pPr>
        <w:pStyle w:val="BodyText"/>
        <w:rPr>
          <w:sz w:val="20"/>
        </w:rPr>
      </w:pPr>
    </w:p>
    <w:p>
      <w:pPr>
        <w:pStyle w:val="BodyText"/>
        <w:spacing w:before="10"/>
        <w:rPr>
          <w:sz w:val="14"/>
        </w:rPr>
      </w:pPr>
      <w:r>
        <w:rPr/>
        <w:pict>
          <v:rect style="position:absolute;margin-left:80.879997pt;margin-top:9.757461pt;width:144pt;height:.6pt;mso-position-horizontal-relative:page;mso-position-vertical-relative:paragraph;z-index:-15728640;mso-wrap-distance-left:0;mso-wrap-distance-right:0" id="docshape2" filled="true" fillcolor="#000000" stroked="false">
            <v:fill type="solid"/>
            <w10:wrap type="topAndBottom"/>
          </v:rect>
        </w:pict>
      </w:r>
    </w:p>
    <w:p>
      <w:pPr>
        <w:spacing w:line="242" w:lineRule="auto" w:before="101"/>
        <w:ind w:left="120" w:right="101" w:hanging="3"/>
        <w:jc w:val="both"/>
        <w:rPr>
          <w:sz w:val="20"/>
        </w:rPr>
      </w:pPr>
      <w:bookmarkStart w:name="_bookmark0" w:id="8"/>
      <w:bookmarkEnd w:id="8"/>
      <w:r>
        <w:rPr/>
      </w:r>
      <w:r>
        <w:rPr>
          <w:sz w:val="20"/>
          <w:vertAlign w:val="superscript"/>
        </w:rPr>
        <w:t>1</w:t>
      </w:r>
      <w:r>
        <w:rPr>
          <w:spacing w:val="-2"/>
          <w:sz w:val="20"/>
          <w:vertAlign w:val="baseline"/>
        </w:rPr>
        <w:t> </w:t>
      </w:r>
      <w:r>
        <w:rPr>
          <w:sz w:val="20"/>
          <w:vertAlign w:val="baseline"/>
        </w:rPr>
        <w:t>Vendimi nr.28/21 i Gjykatës Kushtetuese për shfuqizimin e pikës 3 të nenit 163 të Kodit Zgjedhor, si të papajtueshëm me Kushtetutën që parashikon mënyrën e llogaritjes së votave që kanë marrë një numër votash parapëlqyese më</w:t>
      </w:r>
      <w:r>
        <w:rPr>
          <w:spacing w:val="-2"/>
          <w:sz w:val="20"/>
          <w:vertAlign w:val="baseline"/>
        </w:rPr>
        <w:t> </w:t>
      </w:r>
      <w:r>
        <w:rPr>
          <w:sz w:val="20"/>
          <w:vertAlign w:val="baseline"/>
        </w:rPr>
        <w:t>të madh</w:t>
      </w:r>
      <w:r>
        <w:rPr>
          <w:spacing w:val="-3"/>
          <w:sz w:val="20"/>
          <w:vertAlign w:val="baseline"/>
        </w:rPr>
        <w:t> </w:t>
      </w:r>
      <w:r>
        <w:rPr>
          <w:sz w:val="20"/>
          <w:vertAlign w:val="baseline"/>
        </w:rPr>
        <w:t>se herësi</w:t>
      </w:r>
      <w:r>
        <w:rPr>
          <w:spacing w:val="-2"/>
          <w:sz w:val="20"/>
          <w:vertAlign w:val="baseline"/>
        </w:rPr>
        <w:t> </w:t>
      </w:r>
      <w:r>
        <w:rPr>
          <w:sz w:val="20"/>
          <w:vertAlign w:val="baseline"/>
        </w:rPr>
        <w:t>që</w:t>
      </w:r>
      <w:r>
        <w:rPr>
          <w:spacing w:val="-2"/>
          <w:sz w:val="20"/>
          <w:vertAlign w:val="baseline"/>
        </w:rPr>
        <w:t> </w:t>
      </w:r>
      <w:r>
        <w:rPr>
          <w:sz w:val="20"/>
          <w:vertAlign w:val="baseline"/>
        </w:rPr>
        <w:t>del</w:t>
      </w:r>
      <w:r>
        <w:rPr>
          <w:spacing w:val="-2"/>
          <w:sz w:val="20"/>
          <w:vertAlign w:val="baseline"/>
        </w:rPr>
        <w:t> </w:t>
      </w:r>
      <w:r>
        <w:rPr>
          <w:sz w:val="20"/>
          <w:vertAlign w:val="baseline"/>
        </w:rPr>
        <w:t>nga</w:t>
      </w:r>
      <w:r>
        <w:rPr>
          <w:spacing w:val="-2"/>
          <w:sz w:val="20"/>
          <w:vertAlign w:val="baseline"/>
        </w:rPr>
        <w:t> </w:t>
      </w:r>
      <w:r>
        <w:rPr>
          <w:sz w:val="20"/>
          <w:vertAlign w:val="baseline"/>
        </w:rPr>
        <w:t>pjesëtimi</w:t>
      </w:r>
      <w:r>
        <w:rPr>
          <w:spacing w:val="-2"/>
          <w:sz w:val="20"/>
          <w:vertAlign w:val="baseline"/>
        </w:rPr>
        <w:t> </w:t>
      </w:r>
      <w:r>
        <w:rPr>
          <w:sz w:val="20"/>
          <w:vertAlign w:val="baseline"/>
        </w:rPr>
        <w:t>i</w:t>
      </w:r>
      <w:r>
        <w:rPr>
          <w:spacing w:val="-1"/>
          <w:sz w:val="20"/>
          <w:vertAlign w:val="baseline"/>
        </w:rPr>
        <w:t> </w:t>
      </w:r>
      <w:r>
        <w:rPr>
          <w:sz w:val="20"/>
          <w:vertAlign w:val="baseline"/>
        </w:rPr>
        <w:t>numrit</w:t>
      </w:r>
      <w:r>
        <w:rPr>
          <w:spacing w:val="-2"/>
          <w:sz w:val="20"/>
          <w:vertAlign w:val="baseline"/>
        </w:rPr>
        <w:t> </w:t>
      </w:r>
      <w:r>
        <w:rPr>
          <w:sz w:val="20"/>
          <w:vertAlign w:val="baseline"/>
        </w:rPr>
        <w:t>të votave</w:t>
      </w:r>
      <w:r>
        <w:rPr>
          <w:spacing w:val="-2"/>
          <w:sz w:val="20"/>
          <w:vertAlign w:val="baseline"/>
        </w:rPr>
        <w:t> </w:t>
      </w:r>
      <w:r>
        <w:rPr>
          <w:sz w:val="20"/>
          <w:vertAlign w:val="baseline"/>
        </w:rPr>
        <w:t>të subjektit</w:t>
      </w:r>
      <w:r>
        <w:rPr>
          <w:spacing w:val="-1"/>
          <w:sz w:val="20"/>
          <w:vertAlign w:val="baseline"/>
        </w:rPr>
        <w:t> </w:t>
      </w:r>
      <w:r>
        <w:rPr>
          <w:sz w:val="20"/>
          <w:vertAlign w:val="baseline"/>
        </w:rPr>
        <w:t>me numrin</w:t>
      </w:r>
      <w:r>
        <w:rPr>
          <w:spacing w:val="-3"/>
          <w:sz w:val="20"/>
          <w:vertAlign w:val="baseline"/>
        </w:rPr>
        <w:t> </w:t>
      </w:r>
      <w:r>
        <w:rPr>
          <w:sz w:val="20"/>
          <w:vertAlign w:val="baseline"/>
        </w:rPr>
        <w:t>e mandateve të fituara nga subjekti, sipas</w:t>
      </w:r>
      <w:r>
        <w:rPr>
          <w:spacing w:val="-1"/>
          <w:sz w:val="20"/>
          <w:vertAlign w:val="baseline"/>
        </w:rPr>
        <w:t> </w:t>
      </w:r>
      <w:r>
        <w:rPr>
          <w:sz w:val="20"/>
          <w:vertAlign w:val="baseline"/>
        </w:rPr>
        <w:t>nenit</w:t>
      </w:r>
      <w:r>
        <w:rPr>
          <w:spacing w:val="-1"/>
          <w:sz w:val="20"/>
          <w:vertAlign w:val="baseline"/>
        </w:rPr>
        <w:t> </w:t>
      </w:r>
      <w:r>
        <w:rPr>
          <w:sz w:val="20"/>
          <w:vertAlign w:val="baseline"/>
        </w:rPr>
        <w:t>162 të këtij</w:t>
      </w:r>
      <w:r>
        <w:rPr>
          <w:spacing w:val="-1"/>
          <w:sz w:val="20"/>
          <w:vertAlign w:val="baseline"/>
        </w:rPr>
        <w:t> </w:t>
      </w:r>
      <w:r>
        <w:rPr>
          <w:sz w:val="20"/>
          <w:vertAlign w:val="baseline"/>
        </w:rPr>
        <w:t>Kodi.</w:t>
      </w:r>
      <w:r>
        <w:rPr>
          <w:spacing w:val="-2"/>
          <w:sz w:val="20"/>
          <w:vertAlign w:val="baseline"/>
        </w:rPr>
        <w:t> </w:t>
      </w:r>
      <w:r>
        <w:rPr>
          <w:sz w:val="20"/>
          <w:vertAlign w:val="baseline"/>
        </w:rPr>
        <w:t>Vendimi</w:t>
      </w:r>
      <w:r>
        <w:rPr>
          <w:spacing w:val="-1"/>
          <w:sz w:val="20"/>
          <w:vertAlign w:val="baseline"/>
        </w:rPr>
        <w:t> </w:t>
      </w:r>
      <w:r>
        <w:rPr>
          <w:sz w:val="20"/>
          <w:vertAlign w:val="baseline"/>
        </w:rPr>
        <w:t>nr.31/21</w:t>
      </w:r>
      <w:r>
        <w:rPr>
          <w:spacing w:val="-2"/>
          <w:sz w:val="20"/>
          <w:vertAlign w:val="baseline"/>
        </w:rPr>
        <w:t> </w:t>
      </w:r>
      <w:r>
        <w:rPr>
          <w:sz w:val="20"/>
          <w:vertAlign w:val="baseline"/>
        </w:rPr>
        <w:t>për</w:t>
      </w:r>
      <w:r>
        <w:rPr>
          <w:spacing w:val="-2"/>
          <w:sz w:val="20"/>
          <w:vertAlign w:val="baseline"/>
        </w:rPr>
        <w:t> </w:t>
      </w:r>
      <w:r>
        <w:rPr>
          <w:sz w:val="20"/>
          <w:vertAlign w:val="baseline"/>
        </w:rPr>
        <w:t>shfuqizimin, si</w:t>
      </w:r>
      <w:r>
        <w:rPr>
          <w:spacing w:val="-1"/>
          <w:sz w:val="20"/>
          <w:vertAlign w:val="baseline"/>
        </w:rPr>
        <w:t> </w:t>
      </w:r>
      <w:r>
        <w:rPr>
          <w:sz w:val="20"/>
          <w:vertAlign w:val="baseline"/>
        </w:rPr>
        <w:t>të papajtueshme me Kushtetutën, të fjalisë së dytë të pikës 1 të nenit 162 të Kodit Zgjedhor, të ndryshuar, në pjesën që barazon kandidatët</w:t>
      </w:r>
      <w:r>
        <w:rPr>
          <w:spacing w:val="-3"/>
          <w:sz w:val="20"/>
          <w:vertAlign w:val="baseline"/>
        </w:rPr>
        <w:t> </w:t>
      </w:r>
      <w:r>
        <w:rPr>
          <w:sz w:val="20"/>
          <w:vertAlign w:val="baseline"/>
        </w:rPr>
        <w:t>e</w:t>
      </w:r>
      <w:r>
        <w:rPr>
          <w:spacing w:val="-3"/>
          <w:sz w:val="20"/>
          <w:vertAlign w:val="baseline"/>
        </w:rPr>
        <w:t> </w:t>
      </w:r>
      <w:r>
        <w:rPr>
          <w:sz w:val="20"/>
          <w:vertAlign w:val="baseline"/>
        </w:rPr>
        <w:t>propozuar</w:t>
      </w:r>
      <w:r>
        <w:rPr>
          <w:spacing w:val="-2"/>
          <w:sz w:val="20"/>
          <w:vertAlign w:val="baseline"/>
        </w:rPr>
        <w:t> </w:t>
      </w:r>
      <w:r>
        <w:rPr>
          <w:sz w:val="20"/>
          <w:vertAlign w:val="baseline"/>
        </w:rPr>
        <w:t>nga</w:t>
      </w:r>
      <w:r>
        <w:rPr>
          <w:spacing w:val="-3"/>
          <w:sz w:val="20"/>
          <w:vertAlign w:val="baseline"/>
        </w:rPr>
        <w:t> </w:t>
      </w:r>
      <w:r>
        <w:rPr>
          <w:sz w:val="20"/>
          <w:vertAlign w:val="baseline"/>
        </w:rPr>
        <w:t>zgjedhësit</w:t>
      </w:r>
      <w:r>
        <w:rPr>
          <w:spacing w:val="-1"/>
          <w:sz w:val="20"/>
          <w:vertAlign w:val="baseline"/>
        </w:rPr>
        <w:t> </w:t>
      </w:r>
      <w:r>
        <w:rPr>
          <w:sz w:val="20"/>
          <w:vertAlign w:val="baseline"/>
        </w:rPr>
        <w:t>me kandidatët</w:t>
      </w:r>
      <w:r>
        <w:rPr>
          <w:spacing w:val="-3"/>
          <w:sz w:val="20"/>
          <w:vertAlign w:val="baseline"/>
        </w:rPr>
        <w:t> </w:t>
      </w:r>
      <w:r>
        <w:rPr>
          <w:sz w:val="20"/>
          <w:vertAlign w:val="baseline"/>
        </w:rPr>
        <w:t>e</w:t>
      </w:r>
      <w:r>
        <w:rPr>
          <w:spacing w:val="-3"/>
          <w:sz w:val="20"/>
          <w:vertAlign w:val="baseline"/>
        </w:rPr>
        <w:t> </w:t>
      </w:r>
      <w:r>
        <w:rPr>
          <w:sz w:val="20"/>
          <w:vertAlign w:val="baseline"/>
        </w:rPr>
        <w:t>propozuar</w:t>
      </w:r>
      <w:r>
        <w:rPr>
          <w:spacing w:val="-2"/>
          <w:sz w:val="20"/>
          <w:vertAlign w:val="baseline"/>
        </w:rPr>
        <w:t> </w:t>
      </w:r>
      <w:r>
        <w:rPr>
          <w:sz w:val="20"/>
          <w:vertAlign w:val="baseline"/>
        </w:rPr>
        <w:t>nga</w:t>
      </w:r>
      <w:r>
        <w:rPr>
          <w:spacing w:val="-3"/>
          <w:sz w:val="20"/>
          <w:vertAlign w:val="baseline"/>
        </w:rPr>
        <w:t> </w:t>
      </w:r>
      <w:r>
        <w:rPr>
          <w:sz w:val="20"/>
          <w:vertAlign w:val="baseline"/>
        </w:rPr>
        <w:t>partitë</w:t>
      </w:r>
      <w:r>
        <w:rPr>
          <w:spacing w:val="-3"/>
          <w:sz w:val="20"/>
          <w:vertAlign w:val="baseline"/>
        </w:rPr>
        <w:t> </w:t>
      </w:r>
      <w:r>
        <w:rPr>
          <w:sz w:val="20"/>
          <w:vertAlign w:val="baseline"/>
        </w:rPr>
        <w:t>politike</w:t>
      </w:r>
      <w:r>
        <w:rPr>
          <w:spacing w:val="-3"/>
          <w:sz w:val="20"/>
          <w:vertAlign w:val="baseline"/>
        </w:rPr>
        <w:t> </w:t>
      </w:r>
      <w:r>
        <w:rPr>
          <w:sz w:val="20"/>
          <w:vertAlign w:val="baseline"/>
        </w:rPr>
        <w:t>ose nga koalicion</w:t>
      </w:r>
      <w:r>
        <w:rPr>
          <w:spacing w:val="-4"/>
          <w:sz w:val="20"/>
          <w:vertAlign w:val="baseline"/>
        </w:rPr>
        <w:t> </w:t>
      </w:r>
      <w:r>
        <w:rPr>
          <w:sz w:val="20"/>
          <w:vertAlign w:val="baseline"/>
        </w:rPr>
        <w:t>partish </w:t>
      </w:r>
      <w:r>
        <w:rPr>
          <w:spacing w:val="-2"/>
          <w:sz w:val="20"/>
          <w:vertAlign w:val="baseline"/>
        </w:rPr>
        <w:t>politike.</w:t>
      </w:r>
    </w:p>
    <w:p>
      <w:pPr>
        <w:spacing w:after="0" w:line="242" w:lineRule="auto"/>
        <w:jc w:val="both"/>
        <w:rPr>
          <w:sz w:val="20"/>
        </w:rPr>
        <w:sectPr>
          <w:headerReference w:type="default" r:id="rId5"/>
          <w:type w:val="continuous"/>
          <w:pgSz w:w="11910" w:h="16850"/>
          <w:pgMar w:header="600" w:footer="0" w:top="2100" w:bottom="280" w:left="1500" w:right="1360"/>
          <w:pgNumType w:start="1"/>
        </w:sectPr>
      </w:pPr>
    </w:p>
    <w:p>
      <w:pPr>
        <w:pStyle w:val="BodyText"/>
        <w:ind w:left="119" w:right="101" w:hanging="3"/>
        <w:jc w:val="both"/>
      </w:pPr>
      <w:bookmarkStart w:name="Në këtë kuadër, në vijim të eksperiencës" w:id="9"/>
      <w:bookmarkEnd w:id="9"/>
      <w:r>
        <w:rPr/>
      </w:r>
      <w:r>
        <w:rPr/>
        <w:t>Në këtë kuadër, në vijim të eksperiencës dhe fokusit specifik në monitorimin e proceseve zgjedhore nga secila organizatë që i bashkohet këtij reagimi, në frymën e solidaritetit dhe respektit reciprok për veprimtarinë e organizatave tona, pjesë e shoqërisë civile dhe duke patur si synim kontributin tonë modest për të fuqizuar dhe ndërgjegjësuar qytetarët si dhe nxitur</w:t>
      </w:r>
      <w:r>
        <w:rPr>
          <w:spacing w:val="-1"/>
        </w:rPr>
        <w:t> </w:t>
      </w:r>
      <w:r>
        <w:rPr/>
        <w:t>aktorët përgjegjës që</w:t>
      </w:r>
      <w:r>
        <w:rPr>
          <w:spacing w:val="-1"/>
        </w:rPr>
        <w:t> </w:t>
      </w:r>
      <w:r>
        <w:rPr/>
        <w:t>të garantojnë</w:t>
      </w:r>
      <w:r>
        <w:rPr>
          <w:spacing w:val="-1"/>
        </w:rPr>
        <w:t> </w:t>
      </w:r>
      <w:r>
        <w:rPr/>
        <w:t>zhvillimin e</w:t>
      </w:r>
      <w:r>
        <w:rPr>
          <w:spacing w:val="-1"/>
        </w:rPr>
        <w:t> </w:t>
      </w:r>
      <w:r>
        <w:rPr/>
        <w:t>zgjedhjeve</w:t>
      </w:r>
      <w:r>
        <w:rPr>
          <w:spacing w:val="-1"/>
        </w:rPr>
        <w:t> </w:t>
      </w:r>
      <w:r>
        <w:rPr/>
        <w:t>të</w:t>
      </w:r>
      <w:r>
        <w:rPr>
          <w:spacing w:val="-1"/>
        </w:rPr>
        <w:t> </w:t>
      </w:r>
      <w:r>
        <w:rPr/>
        <w:t>lira</w:t>
      </w:r>
      <w:r>
        <w:rPr>
          <w:spacing w:val="-1"/>
        </w:rPr>
        <w:t> </w:t>
      </w:r>
      <w:r>
        <w:rPr/>
        <w:t>dhe</w:t>
      </w:r>
      <w:r>
        <w:rPr>
          <w:spacing w:val="-1"/>
        </w:rPr>
        <w:t> </w:t>
      </w:r>
      <w:r>
        <w:rPr/>
        <w:t>të</w:t>
      </w:r>
      <w:r>
        <w:rPr>
          <w:spacing w:val="-1"/>
        </w:rPr>
        <w:t> </w:t>
      </w:r>
      <w:r>
        <w:rPr/>
        <w:t>ndershme</w:t>
      </w:r>
      <w:r>
        <w:rPr>
          <w:spacing w:val="-1"/>
        </w:rPr>
        <w:t> </w:t>
      </w:r>
      <w:r>
        <w:rPr/>
        <w:t>në përputhje me parashikimet ligjore përkatëse, paraqesim në vijim një sërë rekomandimesh drejtuar institucioneve kompetente dhe partive politike:</w:t>
      </w:r>
    </w:p>
    <w:p>
      <w:pPr>
        <w:pStyle w:val="BodyText"/>
        <w:spacing w:before="2"/>
        <w:rPr>
          <w:sz w:val="21"/>
        </w:rPr>
      </w:pPr>
    </w:p>
    <w:p>
      <w:pPr>
        <w:pStyle w:val="ListParagraph"/>
        <w:numPr>
          <w:ilvl w:val="0"/>
          <w:numId w:val="1"/>
        </w:numPr>
        <w:tabs>
          <w:tab w:pos="839" w:val="left" w:leader="none"/>
          <w:tab w:pos="840" w:val="left" w:leader="none"/>
        </w:tabs>
        <w:spacing w:line="240" w:lineRule="auto" w:before="0" w:after="0"/>
        <w:ind w:left="840" w:right="0" w:hanging="723"/>
        <w:jc w:val="left"/>
        <w:rPr>
          <w:b/>
          <w:sz w:val="24"/>
        </w:rPr>
      </w:pPr>
      <w:bookmarkStart w:name="➔ URekomandime drejtuar Kuvendit të RSH" w:id="10"/>
      <w:bookmarkEnd w:id="10"/>
      <w:r>
        <w:rPr>
          <w:b/>
          <w:sz w:val="24"/>
          <w:u w:val="single"/>
        </w:rPr>
        <w:t>R</w:t>
      </w:r>
      <w:r>
        <w:rPr>
          <w:b/>
          <w:sz w:val="24"/>
          <w:u w:val="single"/>
        </w:rPr>
        <w:t>ekomandime</w:t>
      </w:r>
      <w:r>
        <w:rPr>
          <w:b/>
          <w:spacing w:val="-12"/>
          <w:sz w:val="24"/>
          <w:u w:val="single"/>
        </w:rPr>
        <w:t> </w:t>
      </w:r>
      <w:r>
        <w:rPr>
          <w:b/>
          <w:sz w:val="24"/>
          <w:u w:val="single"/>
        </w:rPr>
        <w:t>drejtuar</w:t>
      </w:r>
      <w:r>
        <w:rPr>
          <w:b/>
          <w:spacing w:val="-10"/>
          <w:sz w:val="24"/>
          <w:u w:val="single"/>
        </w:rPr>
        <w:t> </w:t>
      </w:r>
      <w:r>
        <w:rPr>
          <w:b/>
          <w:sz w:val="24"/>
          <w:u w:val="single"/>
        </w:rPr>
        <w:t>Kuvendit</w:t>
      </w:r>
      <w:r>
        <w:rPr>
          <w:b/>
          <w:spacing w:val="-12"/>
          <w:sz w:val="24"/>
          <w:u w:val="single"/>
        </w:rPr>
        <w:t> </w:t>
      </w:r>
      <w:r>
        <w:rPr>
          <w:b/>
          <w:sz w:val="24"/>
          <w:u w:val="single"/>
        </w:rPr>
        <w:t>të</w:t>
      </w:r>
      <w:r>
        <w:rPr>
          <w:b/>
          <w:spacing w:val="-12"/>
          <w:sz w:val="24"/>
          <w:u w:val="single"/>
        </w:rPr>
        <w:t> </w:t>
      </w:r>
      <w:r>
        <w:rPr>
          <w:b/>
          <w:spacing w:val="-5"/>
          <w:sz w:val="24"/>
          <w:u w:val="single"/>
        </w:rPr>
        <w:t>RSH</w:t>
      </w:r>
    </w:p>
    <w:p>
      <w:pPr>
        <w:pStyle w:val="BodyText"/>
        <w:spacing w:before="187"/>
        <w:ind w:left="120" w:right="102" w:hanging="3"/>
        <w:jc w:val="both"/>
      </w:pPr>
      <w:bookmarkStart w:name="Një reformë solide, e qëndrueshme dhe ef" w:id="11"/>
      <w:bookmarkEnd w:id="11"/>
      <w:r>
        <w:rPr/>
      </w:r>
      <w:r>
        <w:rPr/>
        <w:t>Një reformë solide, e qëndrueshme dhe efektive kërkon ndryshime cilësore</w:t>
      </w:r>
      <w:r>
        <w:rPr/>
        <w:t> jo</w:t>
      </w:r>
      <w:r>
        <w:rPr/>
        <w:t> vetëm</w:t>
      </w:r>
      <w:r>
        <w:rPr/>
        <w:t> në Kodin</w:t>
      </w:r>
      <w:r>
        <w:rPr>
          <w:spacing w:val="-15"/>
        </w:rPr>
        <w:t> </w:t>
      </w:r>
      <w:r>
        <w:rPr/>
        <w:t>Zgjedhor</w:t>
      </w:r>
      <w:r>
        <w:rPr>
          <w:spacing w:val="-15"/>
        </w:rPr>
        <w:t> </w:t>
      </w:r>
      <w:r>
        <w:rPr/>
        <w:t>por</w:t>
      </w:r>
      <w:r>
        <w:rPr>
          <w:spacing w:val="-15"/>
        </w:rPr>
        <w:t> </w:t>
      </w:r>
      <w:r>
        <w:rPr/>
        <w:t>edhe</w:t>
      </w:r>
      <w:r>
        <w:rPr>
          <w:spacing w:val="-15"/>
        </w:rPr>
        <w:t> </w:t>
      </w:r>
      <w:r>
        <w:rPr/>
        <w:t>në</w:t>
      </w:r>
      <w:r>
        <w:rPr>
          <w:spacing w:val="-15"/>
        </w:rPr>
        <w:t> </w:t>
      </w:r>
      <w:r>
        <w:rPr/>
        <w:t>ligjin</w:t>
      </w:r>
      <w:r>
        <w:rPr>
          <w:spacing w:val="-15"/>
        </w:rPr>
        <w:t> </w:t>
      </w:r>
      <w:r>
        <w:rPr/>
        <w:t>mbi</w:t>
      </w:r>
      <w:r>
        <w:rPr>
          <w:spacing w:val="-15"/>
        </w:rPr>
        <w:t> </w:t>
      </w:r>
      <w:r>
        <w:rPr/>
        <w:t>partitë</w:t>
      </w:r>
      <w:r>
        <w:rPr>
          <w:spacing w:val="-15"/>
        </w:rPr>
        <w:t> </w:t>
      </w:r>
      <w:r>
        <w:rPr/>
        <w:t>politike.</w:t>
      </w:r>
      <w:r>
        <w:rPr>
          <w:spacing w:val="-15"/>
        </w:rPr>
        <w:t> </w:t>
      </w:r>
      <w:r>
        <w:rPr/>
        <w:t>I</w:t>
      </w:r>
      <w:r>
        <w:rPr>
          <w:spacing w:val="-15"/>
        </w:rPr>
        <w:t> </w:t>
      </w:r>
      <w:r>
        <w:rPr/>
        <w:t>gjithë</w:t>
      </w:r>
      <w:r>
        <w:rPr>
          <w:spacing w:val="-15"/>
        </w:rPr>
        <w:t> </w:t>
      </w:r>
      <w:r>
        <w:rPr/>
        <w:t>kuadri</w:t>
      </w:r>
      <w:r>
        <w:rPr>
          <w:spacing w:val="-15"/>
        </w:rPr>
        <w:t> </w:t>
      </w:r>
      <w:r>
        <w:rPr/>
        <w:t>rregullator</w:t>
      </w:r>
      <w:r>
        <w:rPr>
          <w:spacing w:val="-15"/>
        </w:rPr>
        <w:t> </w:t>
      </w:r>
      <w:r>
        <w:rPr/>
        <w:t>për</w:t>
      </w:r>
      <w:r>
        <w:rPr>
          <w:spacing w:val="-15"/>
        </w:rPr>
        <w:t> </w:t>
      </w:r>
      <w:r>
        <w:rPr/>
        <w:t>krijimin, identifikimin, funksionimin dhe transparencën e partive politike, demokracinë e brendshme dhe raportin e tyre me publikun, privilegjet dhe detyrimet, etj, do të duhet të jenë pjesë e kësaj reforme nga komisioni përkatës të ngritur në parlament.</w:t>
      </w:r>
    </w:p>
    <w:p>
      <w:pPr>
        <w:pStyle w:val="BodyText"/>
        <w:spacing w:before="10"/>
        <w:rPr>
          <w:sz w:val="20"/>
        </w:rPr>
      </w:pPr>
    </w:p>
    <w:p>
      <w:pPr>
        <w:pStyle w:val="BodyText"/>
        <w:ind w:left="119" w:right="104" w:hanging="3"/>
        <w:jc w:val="both"/>
      </w:pPr>
      <w:bookmarkStart w:name="Në këtë kuadër rekomandojmë që  Komision" w:id="12"/>
      <w:bookmarkEnd w:id="12"/>
      <w:r>
        <w:rPr/>
      </w:r>
      <w:r>
        <w:rPr/>
        <w:t>Në këtë kuadër rekomandojmë që</w:t>
      </w:r>
      <w:r>
        <w:rPr>
          <w:spacing w:val="40"/>
        </w:rPr>
        <w:t> </w:t>
      </w:r>
      <w:r>
        <w:rPr/>
        <w:t>Komisioni i Posaçëm për Reformën Zgjedhore të procedojë</w:t>
      </w:r>
      <w:r>
        <w:rPr>
          <w:spacing w:val="-1"/>
        </w:rPr>
        <w:t> </w:t>
      </w:r>
      <w:r>
        <w:rPr/>
        <w:t>me</w:t>
      </w:r>
      <w:r>
        <w:rPr>
          <w:spacing w:val="-3"/>
        </w:rPr>
        <w:t> </w:t>
      </w:r>
      <w:r>
        <w:rPr/>
        <w:t>marrjen e</w:t>
      </w:r>
      <w:r>
        <w:rPr>
          <w:spacing w:val="-1"/>
        </w:rPr>
        <w:t> </w:t>
      </w:r>
      <w:r>
        <w:rPr/>
        <w:t>masave</w:t>
      </w:r>
      <w:r>
        <w:rPr>
          <w:spacing w:val="-3"/>
        </w:rPr>
        <w:t> </w:t>
      </w:r>
      <w:r>
        <w:rPr/>
        <w:t>për</w:t>
      </w:r>
      <w:r>
        <w:rPr>
          <w:spacing w:val="-3"/>
        </w:rPr>
        <w:t> </w:t>
      </w:r>
      <w:r>
        <w:rPr/>
        <w:t>shqyrtimin</w:t>
      </w:r>
      <w:r>
        <w:rPr>
          <w:spacing w:val="-2"/>
        </w:rPr>
        <w:t> </w:t>
      </w:r>
      <w:r>
        <w:rPr/>
        <w:t>e mëtejshëm</w:t>
      </w:r>
      <w:r>
        <w:rPr>
          <w:spacing w:val="-2"/>
        </w:rPr>
        <w:t> </w:t>
      </w:r>
      <w:r>
        <w:rPr/>
        <w:t>të</w:t>
      </w:r>
      <w:r>
        <w:rPr>
          <w:spacing w:val="-3"/>
        </w:rPr>
        <w:t> </w:t>
      </w:r>
      <w:r>
        <w:rPr/>
        <w:t>kuadrit</w:t>
      </w:r>
      <w:r>
        <w:rPr>
          <w:spacing w:val="-2"/>
        </w:rPr>
        <w:t> </w:t>
      </w:r>
      <w:r>
        <w:rPr/>
        <w:t>ligjor</w:t>
      </w:r>
      <w:r>
        <w:rPr>
          <w:spacing w:val="-3"/>
        </w:rPr>
        <w:t> </w:t>
      </w:r>
      <w:r>
        <w:rPr/>
        <w:t>për</w:t>
      </w:r>
      <w:r>
        <w:rPr>
          <w:spacing w:val="-1"/>
        </w:rPr>
        <w:t> </w:t>
      </w:r>
      <w:r>
        <w:rPr/>
        <w:t>të</w:t>
      </w:r>
      <w:r>
        <w:rPr>
          <w:spacing w:val="-3"/>
        </w:rPr>
        <w:t> </w:t>
      </w:r>
      <w:r>
        <w:rPr/>
        <w:t>adresuar rekomandimet</w:t>
      </w:r>
      <w:r>
        <w:rPr>
          <w:spacing w:val="-15"/>
        </w:rPr>
        <w:t> </w:t>
      </w:r>
      <w:r>
        <w:rPr/>
        <w:t>e</w:t>
      </w:r>
      <w:r>
        <w:rPr>
          <w:spacing w:val="-15"/>
        </w:rPr>
        <w:t> </w:t>
      </w:r>
      <w:r>
        <w:rPr/>
        <w:t>patrajtuara</w:t>
      </w:r>
      <w:r>
        <w:rPr>
          <w:spacing w:val="-15"/>
        </w:rPr>
        <w:t> </w:t>
      </w:r>
      <w:r>
        <w:rPr/>
        <w:t>të</w:t>
      </w:r>
      <w:r>
        <w:rPr>
          <w:spacing w:val="-15"/>
        </w:rPr>
        <w:t> </w:t>
      </w:r>
      <w:r>
        <w:rPr/>
        <w:t>ODIHR-it</w:t>
      </w:r>
      <w:r>
        <w:rPr>
          <w:spacing w:val="-15"/>
        </w:rPr>
        <w:t> </w:t>
      </w:r>
      <w:r>
        <w:rPr/>
        <w:t>dhe</w:t>
      </w:r>
      <w:r>
        <w:rPr>
          <w:spacing w:val="-15"/>
        </w:rPr>
        <w:t> </w:t>
      </w:r>
      <w:r>
        <w:rPr/>
        <w:t>Komisionit</w:t>
      </w:r>
      <w:r>
        <w:rPr>
          <w:spacing w:val="-15"/>
        </w:rPr>
        <w:t> </w:t>
      </w:r>
      <w:r>
        <w:rPr/>
        <w:t>të</w:t>
      </w:r>
      <w:r>
        <w:rPr>
          <w:spacing w:val="-15"/>
        </w:rPr>
        <w:t> </w:t>
      </w:r>
      <w:r>
        <w:rPr/>
        <w:t>Venecias,</w:t>
      </w:r>
      <w:r>
        <w:rPr>
          <w:spacing w:val="-15"/>
        </w:rPr>
        <w:t> </w:t>
      </w:r>
      <w:r>
        <w:rPr/>
        <w:t>për</w:t>
      </w:r>
      <w:r>
        <w:rPr>
          <w:spacing w:val="-15"/>
        </w:rPr>
        <w:t> </w:t>
      </w:r>
      <w:r>
        <w:rPr/>
        <w:t>një</w:t>
      </w:r>
      <w:r>
        <w:rPr>
          <w:spacing w:val="-15"/>
        </w:rPr>
        <w:t> </w:t>
      </w:r>
      <w:r>
        <w:rPr/>
        <w:t>sërë</w:t>
      </w:r>
      <w:r>
        <w:rPr>
          <w:spacing w:val="-15"/>
        </w:rPr>
        <w:t> </w:t>
      </w:r>
      <w:r>
        <w:rPr/>
        <w:t>paqartësish dhe mospërputhjesh.</w:t>
      </w:r>
    </w:p>
    <w:p>
      <w:pPr>
        <w:pStyle w:val="BodyText"/>
        <w:spacing w:before="10"/>
        <w:rPr>
          <w:sz w:val="20"/>
        </w:rPr>
      </w:pPr>
    </w:p>
    <w:p>
      <w:pPr>
        <w:spacing w:before="0"/>
        <w:ind w:left="119" w:right="102" w:hanging="3"/>
        <w:jc w:val="both"/>
        <w:rPr>
          <w:b/>
          <w:i/>
          <w:sz w:val="24"/>
        </w:rPr>
      </w:pPr>
      <w:bookmarkStart w:name="Referuar standarteve të Komisionit të Ve" w:id="13"/>
      <w:bookmarkEnd w:id="13"/>
      <w:r>
        <w:rPr/>
      </w:r>
      <w:r>
        <w:rPr>
          <w:sz w:val="24"/>
        </w:rPr>
        <w:t>Referuar standarteve të Komisionit të Venecias (Opinioni nr.190/2002)</w:t>
      </w:r>
      <w:r>
        <w:rPr>
          <w:spacing w:val="-10"/>
          <w:sz w:val="24"/>
        </w:rPr>
        <w:t> </w:t>
      </w:r>
      <w:hyperlink w:history="true" w:anchor="_bookmark1">
        <w:r>
          <w:rPr>
            <w:sz w:val="24"/>
            <w:vertAlign w:val="superscript"/>
          </w:rPr>
          <w:t>2</w:t>
        </w:r>
      </w:hyperlink>
      <w:r>
        <w:rPr>
          <w:spacing w:val="-15"/>
          <w:sz w:val="24"/>
          <w:vertAlign w:val="baseline"/>
        </w:rPr>
        <w:t> </w:t>
      </w:r>
      <w:r>
        <w:rPr>
          <w:sz w:val="24"/>
          <w:vertAlign w:val="baseline"/>
        </w:rPr>
        <w:t>, “</w:t>
      </w:r>
      <w:r>
        <w:rPr>
          <w:b/>
          <w:i/>
          <w:sz w:val="24"/>
          <w:vertAlign w:val="baseline"/>
        </w:rPr>
        <w:t>Elementet themelore</w:t>
      </w:r>
      <w:r>
        <w:rPr>
          <w:b/>
          <w:i/>
          <w:spacing w:val="-1"/>
          <w:sz w:val="24"/>
          <w:vertAlign w:val="baseline"/>
        </w:rPr>
        <w:t> </w:t>
      </w:r>
      <w:r>
        <w:rPr>
          <w:b/>
          <w:i/>
          <w:sz w:val="24"/>
          <w:vertAlign w:val="baseline"/>
        </w:rPr>
        <w:t>të</w:t>
      </w:r>
      <w:r>
        <w:rPr>
          <w:b/>
          <w:i/>
          <w:spacing w:val="-1"/>
          <w:sz w:val="24"/>
          <w:vertAlign w:val="baseline"/>
        </w:rPr>
        <w:t> </w:t>
      </w:r>
      <w:r>
        <w:rPr>
          <w:b/>
          <w:i/>
          <w:sz w:val="24"/>
          <w:vertAlign w:val="baseline"/>
        </w:rPr>
        <w:t>legjislacionit zgjedhor, në</w:t>
      </w:r>
      <w:r>
        <w:rPr>
          <w:b/>
          <w:i/>
          <w:spacing w:val="-1"/>
          <w:sz w:val="24"/>
          <w:vertAlign w:val="baseline"/>
        </w:rPr>
        <w:t> </w:t>
      </w:r>
      <w:r>
        <w:rPr>
          <w:b/>
          <w:i/>
          <w:sz w:val="24"/>
          <w:vertAlign w:val="baseline"/>
        </w:rPr>
        <w:t>veçanti të</w:t>
      </w:r>
      <w:r>
        <w:rPr>
          <w:b/>
          <w:i/>
          <w:spacing w:val="-1"/>
          <w:sz w:val="24"/>
          <w:vertAlign w:val="baseline"/>
        </w:rPr>
        <w:t> </w:t>
      </w:r>
      <w:r>
        <w:rPr>
          <w:b/>
          <w:i/>
          <w:sz w:val="24"/>
          <w:vertAlign w:val="baseline"/>
        </w:rPr>
        <w:t>sistemit të</w:t>
      </w:r>
      <w:r>
        <w:rPr>
          <w:b/>
          <w:i/>
          <w:spacing w:val="-1"/>
          <w:sz w:val="24"/>
          <w:vertAlign w:val="baseline"/>
        </w:rPr>
        <w:t> </w:t>
      </w:r>
      <w:r>
        <w:rPr>
          <w:b/>
          <w:i/>
          <w:sz w:val="24"/>
          <w:vertAlign w:val="baseline"/>
        </w:rPr>
        <w:t>duhur zgjedhor, anëtarësimit në komisionet zgjedhore dhe përcaktimit të kufijve elektoralë nuk duhet të jenë të hapur për ndryshime në më pak se një vit para zgjedhjeve”.</w:t>
      </w:r>
    </w:p>
    <w:p>
      <w:pPr>
        <w:pStyle w:val="BodyText"/>
        <w:spacing w:before="10"/>
        <w:rPr>
          <w:b/>
          <w:i/>
          <w:sz w:val="20"/>
        </w:rPr>
      </w:pPr>
    </w:p>
    <w:p>
      <w:pPr>
        <w:pStyle w:val="Heading1"/>
        <w:spacing w:before="1"/>
      </w:pPr>
      <w:bookmarkStart w:name="Megjithatë, në kushtet kur na ndajnë më " w:id="14"/>
      <w:bookmarkEnd w:id="14"/>
      <w:r>
        <w:rPr>
          <w:b w:val="0"/>
          <w:i w:val="0"/>
        </w:rPr>
      </w:r>
      <w:r>
        <w:rPr/>
        <w:t>Megjithatë, në kushtet kur na ndajnë më pak se 4 muaj para zgjedhjeve të organeve të qeverisjes vendore, ndryshime ligjore mund të jenë të nevojshme për të depolitizuar plotësisht</w:t>
      </w:r>
      <w:r>
        <w:rPr>
          <w:spacing w:val="-4"/>
        </w:rPr>
        <w:t> </w:t>
      </w:r>
      <w:r>
        <w:rPr/>
        <w:t>organet</w:t>
      </w:r>
      <w:r>
        <w:rPr>
          <w:spacing w:val="-4"/>
        </w:rPr>
        <w:t> </w:t>
      </w:r>
      <w:r>
        <w:rPr/>
        <w:t>e</w:t>
      </w:r>
      <w:r>
        <w:rPr>
          <w:spacing w:val="-5"/>
        </w:rPr>
        <w:t> </w:t>
      </w:r>
      <w:r>
        <w:rPr/>
        <w:t>administrimit</w:t>
      </w:r>
      <w:r>
        <w:rPr>
          <w:spacing w:val="-4"/>
        </w:rPr>
        <w:t> </w:t>
      </w:r>
      <w:r>
        <w:rPr/>
        <w:t>zgjedhor</w:t>
      </w:r>
      <w:r>
        <w:rPr>
          <w:spacing w:val="-4"/>
        </w:rPr>
        <w:t> </w:t>
      </w:r>
      <w:r>
        <w:rPr/>
        <w:t>(KZAZ,</w:t>
      </w:r>
      <w:r>
        <w:rPr>
          <w:spacing w:val="-4"/>
        </w:rPr>
        <w:t> </w:t>
      </w:r>
      <w:r>
        <w:rPr/>
        <w:t>KQV,</w:t>
      </w:r>
      <w:r>
        <w:rPr>
          <w:spacing w:val="-4"/>
        </w:rPr>
        <w:t> </w:t>
      </w:r>
      <w:r>
        <w:rPr/>
        <w:t>GNV),</w:t>
      </w:r>
      <w:r>
        <w:rPr>
          <w:spacing w:val="-4"/>
        </w:rPr>
        <w:t> </w:t>
      </w:r>
      <w:r>
        <w:rPr/>
        <w:t>për</w:t>
      </w:r>
      <w:r>
        <w:rPr>
          <w:spacing w:val="-4"/>
        </w:rPr>
        <w:t> </w:t>
      </w:r>
      <w:r>
        <w:rPr/>
        <w:t>të</w:t>
      </w:r>
      <w:r>
        <w:rPr>
          <w:spacing w:val="-5"/>
        </w:rPr>
        <w:t> </w:t>
      </w:r>
      <w:r>
        <w:rPr/>
        <w:t>forcuar</w:t>
      </w:r>
      <w:r>
        <w:rPr>
          <w:spacing w:val="-4"/>
        </w:rPr>
        <w:t> </w:t>
      </w:r>
      <w:r>
        <w:rPr/>
        <w:t>kontrollin dhe transparencën e financimit të partive politike, për të parashikuar afate realiste për verifikimin e ndalimeve të legjislacionit të dekriminalizimit të aplikueshme ndaj kandidatëve, për të zgjeruar rregulloret dhe kufijtë e shpenzimeve edhe për palët e treta (pra jo vetëm për partitë politike), etj.</w:t>
      </w:r>
    </w:p>
    <w:p>
      <w:pPr>
        <w:pStyle w:val="BodyText"/>
        <w:spacing w:before="10"/>
        <w:rPr>
          <w:b/>
          <w:i/>
          <w:sz w:val="20"/>
        </w:rPr>
      </w:pPr>
    </w:p>
    <w:p>
      <w:pPr>
        <w:pStyle w:val="BodyText"/>
        <w:ind w:left="119" w:right="104" w:hanging="3"/>
        <w:jc w:val="both"/>
      </w:pPr>
      <w:bookmarkStart w:name="Ndryshimet në Kodin Zgjedhor duhet të pa" w:id="15"/>
      <w:bookmarkEnd w:id="15"/>
      <w:r>
        <w:rPr/>
      </w:r>
      <w:r>
        <w:rPr/>
        <w:t>Ndryshimet në Kodin Zgjedhor duhet të paraprihen nga një proces i hapur, gjithëpërfshirës dhe i drejtë konsultimi.</w:t>
      </w:r>
    </w:p>
    <w:p>
      <w:pPr>
        <w:pStyle w:val="BodyText"/>
        <w:spacing w:before="10"/>
        <w:rPr>
          <w:sz w:val="20"/>
        </w:rPr>
      </w:pPr>
    </w:p>
    <w:p>
      <w:pPr>
        <w:pStyle w:val="BodyText"/>
        <w:ind w:left="119" w:right="103" w:hanging="3"/>
        <w:jc w:val="both"/>
      </w:pPr>
      <w:bookmarkStart w:name="Përpos rëndësisë që paraqet garantimi dh" w:id="16"/>
      <w:bookmarkEnd w:id="16"/>
      <w:r>
        <w:rPr/>
      </w:r>
      <w:r>
        <w:rPr/>
        <w:t>Përpos rëndësisë që paraqet garantimi dhe zbatimi i të drejtës për të votuar të shtetasve shqiptarë</w:t>
      </w:r>
      <w:r>
        <w:rPr>
          <w:spacing w:val="-3"/>
        </w:rPr>
        <w:t> </w:t>
      </w:r>
      <w:r>
        <w:rPr/>
        <w:t>që</w:t>
      </w:r>
      <w:r>
        <w:rPr>
          <w:spacing w:val="-3"/>
        </w:rPr>
        <w:t> </w:t>
      </w:r>
      <w:r>
        <w:rPr/>
        <w:t>banojnë</w:t>
      </w:r>
      <w:r>
        <w:rPr>
          <w:spacing w:val="-3"/>
        </w:rPr>
        <w:t> </w:t>
      </w:r>
      <w:r>
        <w:rPr/>
        <w:t>jashtë</w:t>
      </w:r>
      <w:r>
        <w:rPr>
          <w:spacing w:val="-3"/>
        </w:rPr>
        <w:t> </w:t>
      </w:r>
      <w:r>
        <w:rPr/>
        <w:t>vendit,</w:t>
      </w:r>
      <w:r>
        <w:rPr>
          <w:spacing w:val="-2"/>
        </w:rPr>
        <w:t> </w:t>
      </w:r>
      <w:r>
        <w:rPr/>
        <w:t>sugjerojmë</w:t>
      </w:r>
      <w:r>
        <w:rPr>
          <w:spacing w:val="-3"/>
        </w:rPr>
        <w:t> </w:t>
      </w:r>
      <w:r>
        <w:rPr/>
        <w:t>rishikimin</w:t>
      </w:r>
      <w:r>
        <w:rPr>
          <w:spacing w:val="-2"/>
        </w:rPr>
        <w:t> </w:t>
      </w:r>
      <w:r>
        <w:rPr/>
        <w:t>e</w:t>
      </w:r>
      <w:r>
        <w:rPr>
          <w:spacing w:val="-3"/>
        </w:rPr>
        <w:t> </w:t>
      </w:r>
      <w:r>
        <w:rPr/>
        <w:t>Kodit</w:t>
      </w:r>
      <w:r>
        <w:rPr>
          <w:spacing w:val="-2"/>
        </w:rPr>
        <w:t> </w:t>
      </w:r>
      <w:r>
        <w:rPr/>
        <w:t>Zgjedhor, me</w:t>
      </w:r>
      <w:r>
        <w:rPr>
          <w:spacing w:val="-3"/>
        </w:rPr>
        <w:t> </w:t>
      </w:r>
      <w:r>
        <w:rPr/>
        <w:t>qëllim</w:t>
      </w:r>
      <w:r>
        <w:rPr>
          <w:spacing w:val="-2"/>
        </w:rPr>
        <w:t> </w:t>
      </w:r>
      <w:r>
        <w:rPr/>
        <w:t>që</w:t>
      </w:r>
      <w:r>
        <w:rPr>
          <w:spacing w:val="-3"/>
        </w:rPr>
        <w:t> </w:t>
      </w:r>
      <w:r>
        <w:rPr/>
        <w:t>të parashikojë</w:t>
      </w:r>
      <w:r>
        <w:rPr>
          <w:spacing w:val="-5"/>
        </w:rPr>
        <w:t> </w:t>
      </w:r>
      <w:r>
        <w:rPr/>
        <w:t>në</w:t>
      </w:r>
      <w:r>
        <w:rPr>
          <w:spacing w:val="-5"/>
        </w:rPr>
        <w:t> </w:t>
      </w:r>
      <w:r>
        <w:rPr/>
        <w:t>mënyrë</w:t>
      </w:r>
      <w:r>
        <w:rPr>
          <w:spacing w:val="-5"/>
        </w:rPr>
        <w:t> </w:t>
      </w:r>
      <w:r>
        <w:rPr/>
        <w:t>të</w:t>
      </w:r>
      <w:r>
        <w:rPr>
          <w:spacing w:val="-2"/>
        </w:rPr>
        <w:t> </w:t>
      </w:r>
      <w:r>
        <w:rPr/>
        <w:t>plotë</w:t>
      </w:r>
      <w:r>
        <w:rPr>
          <w:spacing w:val="-5"/>
        </w:rPr>
        <w:t> </w:t>
      </w:r>
      <w:r>
        <w:rPr/>
        <w:t>dhe</w:t>
      </w:r>
      <w:r>
        <w:rPr>
          <w:spacing w:val="-5"/>
        </w:rPr>
        <w:t> </w:t>
      </w:r>
      <w:r>
        <w:rPr/>
        <w:t>të</w:t>
      </w:r>
      <w:r>
        <w:rPr>
          <w:spacing w:val="-5"/>
        </w:rPr>
        <w:t> </w:t>
      </w:r>
      <w:r>
        <w:rPr/>
        <w:t>qartë</w:t>
      </w:r>
      <w:r>
        <w:rPr>
          <w:spacing w:val="-5"/>
        </w:rPr>
        <w:t> </w:t>
      </w:r>
      <w:r>
        <w:rPr/>
        <w:t>mundësinë</w:t>
      </w:r>
      <w:r>
        <w:rPr>
          <w:spacing w:val="-5"/>
        </w:rPr>
        <w:t> </w:t>
      </w:r>
      <w:r>
        <w:rPr/>
        <w:t>dhe</w:t>
      </w:r>
      <w:r>
        <w:rPr>
          <w:spacing w:val="-2"/>
        </w:rPr>
        <w:t> </w:t>
      </w:r>
      <w:r>
        <w:rPr/>
        <w:t>format</w:t>
      </w:r>
      <w:r>
        <w:rPr>
          <w:spacing w:val="-1"/>
        </w:rPr>
        <w:t> </w:t>
      </w:r>
      <w:r>
        <w:rPr/>
        <w:t>e</w:t>
      </w:r>
      <w:r>
        <w:rPr>
          <w:spacing w:val="-5"/>
        </w:rPr>
        <w:t> </w:t>
      </w:r>
      <w:r>
        <w:rPr/>
        <w:t>realizimit</w:t>
      </w:r>
      <w:r>
        <w:rPr>
          <w:spacing w:val="-3"/>
        </w:rPr>
        <w:t> </w:t>
      </w:r>
      <w:r>
        <w:rPr/>
        <w:t>në</w:t>
      </w:r>
      <w:r>
        <w:rPr>
          <w:spacing w:val="-5"/>
        </w:rPr>
        <w:t> </w:t>
      </w:r>
      <w:r>
        <w:rPr/>
        <w:t>praktikë</w:t>
      </w:r>
      <w:r>
        <w:rPr>
          <w:spacing w:val="-5"/>
        </w:rPr>
        <w:t> </w:t>
      </w:r>
      <w:r>
        <w:rPr/>
        <w:t>të kësaj të drejte. Ky detyrim vjen edhe në kuadër të vendimit më të fundit të Gjykatës Kushtetuese</w:t>
      </w:r>
      <w:r>
        <w:rPr>
          <w:spacing w:val="-6"/>
        </w:rPr>
        <w:t> </w:t>
      </w:r>
      <w:r>
        <w:rPr/>
        <w:t>(dt.9</w:t>
      </w:r>
      <w:r>
        <w:rPr>
          <w:spacing w:val="-5"/>
        </w:rPr>
        <w:t> </w:t>
      </w:r>
      <w:r>
        <w:rPr/>
        <w:t>Dhjetor</w:t>
      </w:r>
      <w:r>
        <w:rPr>
          <w:spacing w:val="-6"/>
        </w:rPr>
        <w:t> </w:t>
      </w:r>
      <w:r>
        <w:rPr/>
        <w:t>2022),</w:t>
      </w:r>
      <w:r>
        <w:rPr>
          <w:spacing w:val="-5"/>
        </w:rPr>
        <w:t> </w:t>
      </w:r>
      <w:r>
        <w:rPr/>
        <w:t>e</w:t>
      </w:r>
      <w:r>
        <w:rPr>
          <w:spacing w:val="-6"/>
        </w:rPr>
        <w:t> </w:t>
      </w:r>
      <w:r>
        <w:rPr/>
        <w:t>cila</w:t>
      </w:r>
      <w:r>
        <w:rPr>
          <w:spacing w:val="-6"/>
        </w:rPr>
        <w:t> </w:t>
      </w:r>
      <w:r>
        <w:rPr/>
        <w:t>konstatoi</w:t>
      </w:r>
      <w:r>
        <w:rPr>
          <w:spacing w:val="-5"/>
        </w:rPr>
        <w:t> </w:t>
      </w:r>
      <w:r>
        <w:rPr/>
        <w:t>cenimin</w:t>
      </w:r>
      <w:r>
        <w:rPr>
          <w:spacing w:val="-5"/>
        </w:rPr>
        <w:t> </w:t>
      </w:r>
      <w:r>
        <w:rPr/>
        <w:t>e</w:t>
      </w:r>
      <w:r>
        <w:rPr>
          <w:spacing w:val="-6"/>
        </w:rPr>
        <w:t> </w:t>
      </w:r>
      <w:r>
        <w:rPr/>
        <w:t>së</w:t>
      </w:r>
      <w:r>
        <w:rPr>
          <w:spacing w:val="-6"/>
        </w:rPr>
        <w:t> </w:t>
      </w:r>
      <w:r>
        <w:rPr/>
        <w:t>drejtës</w:t>
      </w:r>
      <w:r>
        <w:rPr>
          <w:spacing w:val="-5"/>
        </w:rPr>
        <w:t> </w:t>
      </w:r>
      <w:r>
        <w:rPr/>
        <w:t>kushtetuese</w:t>
      </w:r>
      <w:r>
        <w:rPr>
          <w:spacing w:val="-6"/>
        </w:rPr>
        <w:t> </w:t>
      </w:r>
      <w:r>
        <w:rPr/>
        <w:t>të</w:t>
      </w:r>
      <w:r>
        <w:rPr>
          <w:spacing w:val="-6"/>
        </w:rPr>
        <w:t> </w:t>
      </w:r>
      <w:r>
        <w:rPr/>
        <w:t>votës</w:t>
      </w:r>
      <w:r>
        <w:rPr>
          <w:spacing w:val="-5"/>
        </w:rPr>
        <w:t> </w:t>
      </w:r>
      <w:r>
        <w:rPr/>
        <w:t>së emigrantëve, në zgjedhjet e kaluara për Kuvendin, për shkak të boshllëkut ligjor dhe detyrimin e Kuvendit për plotësimin e boshllëkut ligjor brenda një viti nga hyrja në fuqi e këtij vendimi.</w:t>
      </w:r>
    </w:p>
    <w:p>
      <w:pPr>
        <w:pStyle w:val="BodyText"/>
        <w:spacing w:before="7"/>
        <w:rPr>
          <w:sz w:val="20"/>
        </w:rPr>
      </w:pPr>
    </w:p>
    <w:p>
      <w:pPr>
        <w:pStyle w:val="BodyText"/>
        <w:spacing w:before="1"/>
        <w:ind w:left="119" w:right="103" w:hanging="3"/>
        <w:jc w:val="both"/>
      </w:pPr>
      <w:bookmarkStart w:name="Referuar garantimit të aksesit të baraba" w:id="17"/>
      <w:bookmarkEnd w:id="17"/>
      <w:r>
        <w:rPr/>
      </w:r>
      <w:r>
        <w:rPr/>
        <w:t>Referuar</w:t>
      </w:r>
      <w:r>
        <w:rPr>
          <w:spacing w:val="-4"/>
        </w:rPr>
        <w:t> </w:t>
      </w:r>
      <w:r>
        <w:rPr/>
        <w:t>garantimit</w:t>
      </w:r>
      <w:r>
        <w:rPr>
          <w:spacing w:val="-5"/>
        </w:rPr>
        <w:t> </w:t>
      </w:r>
      <w:r>
        <w:rPr/>
        <w:t>të</w:t>
      </w:r>
      <w:r>
        <w:rPr>
          <w:spacing w:val="-7"/>
        </w:rPr>
        <w:t> </w:t>
      </w:r>
      <w:r>
        <w:rPr/>
        <w:t>aksesit</w:t>
      </w:r>
      <w:r>
        <w:rPr>
          <w:spacing w:val="-5"/>
        </w:rPr>
        <w:t> </w:t>
      </w:r>
      <w:r>
        <w:rPr/>
        <w:t>të</w:t>
      </w:r>
      <w:r>
        <w:rPr>
          <w:spacing w:val="-7"/>
        </w:rPr>
        <w:t> </w:t>
      </w:r>
      <w:r>
        <w:rPr/>
        <w:t>barabartë</w:t>
      </w:r>
      <w:r>
        <w:rPr>
          <w:spacing w:val="-7"/>
        </w:rPr>
        <w:t> </w:t>
      </w:r>
      <w:r>
        <w:rPr/>
        <w:t>në</w:t>
      </w:r>
      <w:r>
        <w:rPr>
          <w:spacing w:val="-7"/>
        </w:rPr>
        <w:t> </w:t>
      </w:r>
      <w:r>
        <w:rPr/>
        <w:t>zgjedhje</w:t>
      </w:r>
      <w:r>
        <w:rPr>
          <w:spacing w:val="-7"/>
        </w:rPr>
        <w:t> </w:t>
      </w:r>
      <w:r>
        <w:rPr/>
        <w:t>rekomandojmë</w:t>
      </w:r>
      <w:r>
        <w:rPr>
          <w:spacing w:val="-7"/>
        </w:rPr>
        <w:t> </w:t>
      </w:r>
      <w:r>
        <w:rPr/>
        <w:t>ndërmarrjen</w:t>
      </w:r>
      <w:r>
        <w:rPr>
          <w:spacing w:val="-6"/>
        </w:rPr>
        <w:t> </w:t>
      </w:r>
      <w:r>
        <w:rPr/>
        <w:t>e</w:t>
      </w:r>
      <w:r>
        <w:rPr>
          <w:spacing w:val="-7"/>
        </w:rPr>
        <w:t> </w:t>
      </w:r>
      <w:r>
        <w:rPr/>
        <w:t>masave të</w:t>
      </w:r>
      <w:r>
        <w:rPr>
          <w:spacing w:val="64"/>
        </w:rPr>
        <w:t> </w:t>
      </w:r>
      <w:r>
        <w:rPr/>
        <w:t>veçanta</w:t>
      </w:r>
      <w:r>
        <w:rPr>
          <w:spacing w:val="65"/>
        </w:rPr>
        <w:t> </w:t>
      </w:r>
      <w:r>
        <w:rPr/>
        <w:t>dhe</w:t>
      </w:r>
      <w:r>
        <w:rPr>
          <w:spacing w:val="65"/>
        </w:rPr>
        <w:t> </w:t>
      </w:r>
      <w:r>
        <w:rPr/>
        <w:t>përmirësimin</w:t>
      </w:r>
      <w:r>
        <w:rPr>
          <w:spacing w:val="66"/>
        </w:rPr>
        <w:t> </w:t>
      </w:r>
      <w:r>
        <w:rPr/>
        <w:t>e</w:t>
      </w:r>
      <w:r>
        <w:rPr>
          <w:spacing w:val="65"/>
        </w:rPr>
        <w:t> </w:t>
      </w:r>
      <w:r>
        <w:rPr/>
        <w:t>legjislacionit</w:t>
      </w:r>
      <w:r>
        <w:rPr>
          <w:spacing w:val="66"/>
        </w:rPr>
        <w:t> </w:t>
      </w:r>
      <w:r>
        <w:rPr/>
        <w:t>për</w:t>
      </w:r>
      <w:r>
        <w:rPr>
          <w:spacing w:val="65"/>
        </w:rPr>
        <w:t> </w:t>
      </w:r>
      <w:r>
        <w:rPr/>
        <w:t>të</w:t>
      </w:r>
      <w:r>
        <w:rPr>
          <w:spacing w:val="67"/>
        </w:rPr>
        <w:t> </w:t>
      </w:r>
      <w:r>
        <w:rPr/>
        <w:t>siguruar</w:t>
      </w:r>
      <w:r>
        <w:rPr>
          <w:spacing w:val="67"/>
        </w:rPr>
        <w:t> </w:t>
      </w:r>
      <w:r>
        <w:rPr/>
        <w:t>mekanizma</w:t>
      </w:r>
      <w:r>
        <w:rPr>
          <w:spacing w:val="64"/>
        </w:rPr>
        <w:t> </w:t>
      </w:r>
      <w:r>
        <w:rPr/>
        <w:t>ligjorë</w:t>
      </w:r>
      <w:r>
        <w:rPr>
          <w:spacing w:val="65"/>
        </w:rPr>
        <w:t> </w:t>
      </w:r>
      <w:r>
        <w:rPr>
          <w:spacing w:val="-2"/>
        </w:rPr>
        <w:t>(p.sh.</w:t>
      </w:r>
    </w:p>
    <w:p>
      <w:pPr>
        <w:pStyle w:val="BodyText"/>
        <w:spacing w:before="4"/>
        <w:rPr>
          <w:sz w:val="12"/>
        </w:rPr>
      </w:pPr>
      <w:r>
        <w:rPr/>
        <w:pict>
          <v:rect style="position:absolute;margin-left:80.879997pt;margin-top:8.322744pt;width:144pt;height:.6pt;mso-position-horizontal-relative:page;mso-position-vertical-relative:paragraph;z-index:-15728128;mso-wrap-distance-left:0;mso-wrap-distance-right:0" id="docshape3" filled="true" fillcolor="#000000" stroked="false">
            <v:fill type="solid"/>
            <w10:wrap type="topAndBottom"/>
          </v:rect>
        </w:pict>
      </w:r>
    </w:p>
    <w:p>
      <w:pPr>
        <w:spacing w:before="101"/>
        <w:ind w:left="117" w:right="0" w:firstLine="0"/>
        <w:jc w:val="left"/>
        <w:rPr>
          <w:sz w:val="20"/>
        </w:rPr>
      </w:pPr>
      <w:bookmarkStart w:name="_bookmark1" w:id="18"/>
      <w:bookmarkEnd w:id="18"/>
      <w:r>
        <w:rPr/>
      </w:r>
      <w:r>
        <w:rPr>
          <w:sz w:val="20"/>
          <w:vertAlign w:val="superscript"/>
        </w:rPr>
        <w:t>2</w:t>
      </w:r>
      <w:r>
        <w:rPr>
          <w:spacing w:val="-7"/>
          <w:sz w:val="20"/>
          <w:vertAlign w:val="baseline"/>
        </w:rPr>
        <w:t> </w:t>
      </w:r>
      <w:r>
        <w:rPr>
          <w:sz w:val="20"/>
          <w:vertAlign w:val="baseline"/>
        </w:rPr>
        <w:t>“Udhezimet</w:t>
      </w:r>
      <w:r>
        <w:rPr>
          <w:spacing w:val="-6"/>
          <w:sz w:val="20"/>
          <w:vertAlign w:val="baseline"/>
        </w:rPr>
        <w:t> </w:t>
      </w:r>
      <w:r>
        <w:rPr>
          <w:sz w:val="20"/>
          <w:vertAlign w:val="baseline"/>
        </w:rPr>
        <w:t>për</w:t>
      </w:r>
      <w:r>
        <w:rPr>
          <w:spacing w:val="-5"/>
          <w:sz w:val="20"/>
          <w:vertAlign w:val="baseline"/>
        </w:rPr>
        <w:t> </w:t>
      </w:r>
      <w:r>
        <w:rPr>
          <w:sz w:val="20"/>
          <w:vertAlign w:val="baseline"/>
        </w:rPr>
        <w:t>Zgjedhjet”</w:t>
      </w:r>
      <w:r>
        <w:rPr>
          <w:spacing w:val="-6"/>
          <w:sz w:val="20"/>
          <w:vertAlign w:val="baseline"/>
        </w:rPr>
        <w:t> </w:t>
      </w:r>
      <w:r>
        <w:rPr>
          <w:sz w:val="20"/>
          <w:vertAlign w:val="baseline"/>
        </w:rPr>
        <w:t>(CDL-AD</w:t>
      </w:r>
      <w:r>
        <w:rPr>
          <w:spacing w:val="-6"/>
          <w:sz w:val="20"/>
          <w:vertAlign w:val="baseline"/>
        </w:rPr>
        <w:t> </w:t>
      </w:r>
      <w:r>
        <w:rPr>
          <w:sz w:val="20"/>
          <w:vertAlign w:val="baseline"/>
        </w:rPr>
        <w:t>(2002)</w:t>
      </w:r>
      <w:r>
        <w:rPr>
          <w:spacing w:val="-7"/>
          <w:sz w:val="20"/>
          <w:vertAlign w:val="baseline"/>
        </w:rPr>
        <w:t> </w:t>
      </w:r>
      <w:r>
        <w:rPr>
          <w:spacing w:val="-5"/>
          <w:sz w:val="20"/>
          <w:vertAlign w:val="baseline"/>
        </w:rPr>
        <w:t>13)</w:t>
      </w:r>
    </w:p>
    <w:p>
      <w:pPr>
        <w:spacing w:after="0"/>
        <w:jc w:val="left"/>
        <w:rPr>
          <w:sz w:val="20"/>
        </w:rPr>
        <w:sectPr>
          <w:pgSz w:w="11910" w:h="16850"/>
          <w:pgMar w:header="600" w:footer="0" w:top="2100" w:bottom="280" w:left="1500" w:right="1360"/>
        </w:sectPr>
      </w:pPr>
    </w:p>
    <w:p>
      <w:pPr>
        <w:pStyle w:val="BodyText"/>
        <w:ind w:left="120" w:right="106"/>
        <w:jc w:val="both"/>
      </w:pPr>
      <w:r>
        <w:rPr/>
        <w:t>përqindje</w:t>
      </w:r>
      <w:r>
        <w:rPr>
          <w:spacing w:val="-4"/>
        </w:rPr>
        <w:t> </w:t>
      </w:r>
      <w:r>
        <w:rPr/>
        <w:t>e</w:t>
      </w:r>
      <w:r>
        <w:rPr>
          <w:spacing w:val="-4"/>
        </w:rPr>
        <w:t> </w:t>
      </w:r>
      <w:r>
        <w:rPr/>
        <w:t>kuotës</w:t>
      </w:r>
      <w:r>
        <w:rPr>
          <w:spacing w:val="-1"/>
        </w:rPr>
        <w:t> </w:t>
      </w:r>
      <w:r>
        <w:rPr/>
        <w:t>gjinore</w:t>
      </w:r>
      <w:r>
        <w:rPr>
          <w:spacing w:val="-4"/>
        </w:rPr>
        <w:t> </w:t>
      </w:r>
      <w:r>
        <w:rPr/>
        <w:t>për</w:t>
      </w:r>
      <w:r>
        <w:rPr>
          <w:spacing w:val="-2"/>
        </w:rPr>
        <w:t> </w:t>
      </w:r>
      <w:r>
        <w:rPr/>
        <w:t>fondet</w:t>
      </w:r>
      <w:r>
        <w:rPr>
          <w:spacing w:val="-3"/>
        </w:rPr>
        <w:t> </w:t>
      </w:r>
      <w:r>
        <w:rPr/>
        <w:t>publike</w:t>
      </w:r>
      <w:r>
        <w:rPr>
          <w:spacing w:val="-4"/>
        </w:rPr>
        <w:t> </w:t>
      </w:r>
      <w:r>
        <w:rPr/>
        <w:t>ose</w:t>
      </w:r>
      <w:r>
        <w:rPr>
          <w:spacing w:val="-2"/>
        </w:rPr>
        <w:t> </w:t>
      </w:r>
      <w:r>
        <w:rPr/>
        <w:t>shpërndarje</w:t>
      </w:r>
      <w:r>
        <w:rPr>
          <w:spacing w:val="-2"/>
        </w:rPr>
        <w:t> </w:t>
      </w:r>
      <w:r>
        <w:rPr/>
        <w:t>specifike</w:t>
      </w:r>
      <w:r>
        <w:rPr>
          <w:spacing w:val="-4"/>
        </w:rPr>
        <w:t> </w:t>
      </w:r>
      <w:r>
        <w:rPr/>
        <w:t>e</w:t>
      </w:r>
      <w:r>
        <w:rPr>
          <w:spacing w:val="-4"/>
        </w:rPr>
        <w:t> </w:t>
      </w:r>
      <w:r>
        <w:rPr/>
        <w:t>fondeve</w:t>
      </w:r>
      <w:r>
        <w:rPr>
          <w:spacing w:val="-4"/>
        </w:rPr>
        <w:t> </w:t>
      </w:r>
      <w:r>
        <w:rPr/>
        <w:t>publike</w:t>
      </w:r>
      <w:r>
        <w:rPr>
          <w:spacing w:val="-4"/>
        </w:rPr>
        <w:t> </w:t>
      </w:r>
      <w:r>
        <w:rPr/>
        <w:t>të destinuara për aktivitete të barazisë gjinore) për të përmirësuar pjesëmarrjen dhe përfaqësimin</w:t>
      </w:r>
      <w:r>
        <w:rPr>
          <w:spacing w:val="-6"/>
        </w:rPr>
        <w:t> </w:t>
      </w:r>
      <w:r>
        <w:rPr/>
        <w:t>e</w:t>
      </w:r>
      <w:r>
        <w:rPr>
          <w:spacing w:val="-7"/>
        </w:rPr>
        <w:t> </w:t>
      </w:r>
      <w:r>
        <w:rPr/>
        <w:t>grave</w:t>
      </w:r>
      <w:r>
        <w:rPr>
          <w:spacing w:val="-7"/>
        </w:rPr>
        <w:t> </w:t>
      </w:r>
      <w:r>
        <w:rPr/>
        <w:t>në</w:t>
      </w:r>
      <w:r>
        <w:rPr>
          <w:spacing w:val="-4"/>
        </w:rPr>
        <w:t> </w:t>
      </w:r>
      <w:r>
        <w:rPr/>
        <w:t>proceset</w:t>
      </w:r>
      <w:r>
        <w:rPr>
          <w:spacing w:val="-5"/>
        </w:rPr>
        <w:t> </w:t>
      </w:r>
      <w:r>
        <w:rPr/>
        <w:t>zgjedhore</w:t>
      </w:r>
      <w:r>
        <w:rPr>
          <w:spacing w:val="-7"/>
        </w:rPr>
        <w:t> </w:t>
      </w:r>
      <w:r>
        <w:rPr/>
        <w:t>dhe</w:t>
      </w:r>
      <w:r>
        <w:rPr>
          <w:spacing w:val="-7"/>
        </w:rPr>
        <w:t> </w:t>
      </w:r>
      <w:r>
        <w:rPr/>
        <w:t>për</w:t>
      </w:r>
      <w:r>
        <w:rPr>
          <w:spacing w:val="-7"/>
        </w:rPr>
        <w:t> </w:t>
      </w:r>
      <w:r>
        <w:rPr/>
        <w:t>të</w:t>
      </w:r>
      <w:r>
        <w:rPr>
          <w:spacing w:val="-7"/>
        </w:rPr>
        <w:t> </w:t>
      </w:r>
      <w:r>
        <w:rPr/>
        <w:t>sanksionuar</w:t>
      </w:r>
      <w:r>
        <w:rPr>
          <w:spacing w:val="40"/>
        </w:rPr>
        <w:t> </w:t>
      </w:r>
      <w:r>
        <w:rPr/>
        <w:t>mosrespektimin</w:t>
      </w:r>
      <w:r>
        <w:rPr>
          <w:spacing w:val="-6"/>
        </w:rPr>
        <w:t> </w:t>
      </w:r>
      <w:r>
        <w:rPr/>
        <w:t>e</w:t>
      </w:r>
      <w:r>
        <w:rPr>
          <w:spacing w:val="-7"/>
        </w:rPr>
        <w:t> </w:t>
      </w:r>
      <w:r>
        <w:rPr/>
        <w:t>këtyre </w:t>
      </w:r>
      <w:r>
        <w:rPr>
          <w:spacing w:val="-2"/>
        </w:rPr>
        <w:t>dispozitave.</w:t>
      </w:r>
    </w:p>
    <w:p>
      <w:pPr>
        <w:pStyle w:val="BodyText"/>
        <w:spacing w:before="9"/>
        <w:rPr>
          <w:sz w:val="20"/>
        </w:rPr>
      </w:pPr>
    </w:p>
    <w:p>
      <w:pPr>
        <w:pStyle w:val="BodyText"/>
        <w:ind w:left="119" w:right="102" w:hanging="3"/>
        <w:jc w:val="both"/>
      </w:pPr>
      <w:bookmarkStart w:name="Nisur nga ngjarja e paprecedentë e mbajt" w:id="19"/>
      <w:bookmarkEnd w:id="19"/>
      <w:r>
        <w:rPr/>
      </w:r>
      <w:r>
        <w:rPr/>
        <w:t>Nisur nga ngjarja e paprecedentë e mbajtjes dhe përpunimit të të dhënave të qytetarëve për qëllime</w:t>
      </w:r>
      <w:r>
        <w:rPr>
          <w:spacing w:val="-9"/>
        </w:rPr>
        <w:t> </w:t>
      </w:r>
      <w:r>
        <w:rPr/>
        <w:t>elektorale,</w:t>
      </w:r>
      <w:r>
        <w:rPr>
          <w:spacing w:val="-8"/>
        </w:rPr>
        <w:t> </w:t>
      </w:r>
      <w:r>
        <w:rPr/>
        <w:t>me</w:t>
      </w:r>
      <w:r>
        <w:rPr>
          <w:spacing w:val="-9"/>
        </w:rPr>
        <w:t> </w:t>
      </w:r>
      <w:r>
        <w:rPr/>
        <w:t>anë</w:t>
      </w:r>
      <w:r>
        <w:rPr>
          <w:spacing w:val="-9"/>
        </w:rPr>
        <w:t> </w:t>
      </w:r>
      <w:r>
        <w:rPr/>
        <w:t>të</w:t>
      </w:r>
      <w:r>
        <w:rPr>
          <w:spacing w:val="-9"/>
        </w:rPr>
        <w:t> </w:t>
      </w:r>
      <w:r>
        <w:rPr/>
        <w:t>sistemit</w:t>
      </w:r>
      <w:r>
        <w:rPr>
          <w:spacing w:val="-10"/>
        </w:rPr>
        <w:t> </w:t>
      </w:r>
      <w:r>
        <w:rPr/>
        <w:t>patronazhist,</w:t>
      </w:r>
      <w:r>
        <w:rPr>
          <w:spacing w:val="-11"/>
        </w:rPr>
        <w:t> </w:t>
      </w:r>
      <w:r>
        <w:rPr/>
        <w:t>sugjerojmë</w:t>
      </w:r>
      <w:r>
        <w:rPr>
          <w:spacing w:val="-9"/>
        </w:rPr>
        <w:t> </w:t>
      </w:r>
      <w:r>
        <w:rPr/>
        <w:t>që</w:t>
      </w:r>
      <w:r>
        <w:rPr>
          <w:spacing w:val="-9"/>
        </w:rPr>
        <w:t> </w:t>
      </w:r>
      <w:r>
        <w:rPr/>
        <w:t>në</w:t>
      </w:r>
      <w:r>
        <w:rPr>
          <w:spacing w:val="-9"/>
        </w:rPr>
        <w:t> </w:t>
      </w:r>
      <w:r>
        <w:rPr/>
        <w:t>Kreun</w:t>
      </w:r>
      <w:r>
        <w:rPr>
          <w:spacing w:val="-7"/>
        </w:rPr>
        <w:t> </w:t>
      </w:r>
      <w:r>
        <w:rPr/>
        <w:t>X</w:t>
      </w:r>
      <w:r>
        <w:rPr>
          <w:spacing w:val="-9"/>
        </w:rPr>
        <w:t> </w:t>
      </w:r>
      <w:r>
        <w:rPr/>
        <w:t>“Vepra</w:t>
      </w:r>
      <w:r>
        <w:rPr>
          <w:spacing w:val="-9"/>
        </w:rPr>
        <w:t> </w:t>
      </w:r>
      <w:r>
        <w:rPr/>
        <w:t>penale që prekin zgjedhjet e lira dhe sistemin demokratik të zgjedhjeve” të Kodit Penal, të shtohet një dispozite e re, duke konsideruar si vepra penale përdorimin e bazës shtetërore të të dhënave me të dhënat përkatëse për qëllime zgjedhore nga subjektet zgjedhore dhe parashikimin e sanksioneve penale përkatëse për të.</w:t>
      </w:r>
    </w:p>
    <w:p>
      <w:pPr>
        <w:pStyle w:val="BodyText"/>
        <w:spacing w:before="3"/>
        <w:rPr>
          <w:sz w:val="21"/>
        </w:rPr>
      </w:pPr>
    </w:p>
    <w:p>
      <w:pPr>
        <w:pStyle w:val="ListParagraph"/>
        <w:numPr>
          <w:ilvl w:val="0"/>
          <w:numId w:val="1"/>
        </w:numPr>
        <w:tabs>
          <w:tab w:pos="839" w:val="left" w:leader="none"/>
          <w:tab w:pos="840" w:val="left" w:leader="none"/>
        </w:tabs>
        <w:spacing w:line="240" w:lineRule="auto" w:before="0" w:after="0"/>
        <w:ind w:left="840" w:right="0" w:hanging="723"/>
        <w:jc w:val="left"/>
        <w:rPr>
          <w:b/>
          <w:sz w:val="24"/>
        </w:rPr>
      </w:pPr>
      <w:bookmarkStart w:name="➔ URekomandime drejtuar Komisionit Qendr" w:id="20"/>
      <w:bookmarkEnd w:id="20"/>
      <w:r>
        <w:rPr>
          <w:b/>
          <w:sz w:val="24"/>
          <w:u w:val="single"/>
        </w:rPr>
        <w:t>R</w:t>
      </w:r>
      <w:r>
        <w:rPr>
          <w:b/>
          <w:sz w:val="24"/>
          <w:u w:val="single"/>
        </w:rPr>
        <w:t>ekomandime</w:t>
      </w:r>
      <w:r>
        <w:rPr>
          <w:b/>
          <w:spacing w:val="-11"/>
          <w:sz w:val="24"/>
          <w:u w:val="single"/>
        </w:rPr>
        <w:t> </w:t>
      </w:r>
      <w:r>
        <w:rPr>
          <w:b/>
          <w:sz w:val="24"/>
          <w:u w:val="single"/>
        </w:rPr>
        <w:t>drejtuar</w:t>
      </w:r>
      <w:r>
        <w:rPr>
          <w:b/>
          <w:spacing w:val="-9"/>
          <w:sz w:val="24"/>
          <w:u w:val="single"/>
        </w:rPr>
        <w:t> </w:t>
      </w:r>
      <w:r>
        <w:rPr>
          <w:b/>
          <w:sz w:val="24"/>
          <w:u w:val="single"/>
        </w:rPr>
        <w:t>Komisionit</w:t>
      </w:r>
      <w:r>
        <w:rPr>
          <w:b/>
          <w:spacing w:val="-10"/>
          <w:sz w:val="24"/>
          <w:u w:val="single"/>
        </w:rPr>
        <w:t> </w:t>
      </w:r>
      <w:r>
        <w:rPr>
          <w:b/>
          <w:sz w:val="24"/>
          <w:u w:val="single"/>
        </w:rPr>
        <w:t>Qendror</w:t>
      </w:r>
      <w:r>
        <w:rPr>
          <w:b/>
          <w:spacing w:val="-10"/>
          <w:sz w:val="24"/>
          <w:u w:val="single"/>
        </w:rPr>
        <w:t> </w:t>
      </w:r>
      <w:r>
        <w:rPr>
          <w:b/>
          <w:sz w:val="24"/>
          <w:u w:val="single"/>
        </w:rPr>
        <w:t>të</w:t>
      </w:r>
      <w:r>
        <w:rPr>
          <w:b/>
          <w:spacing w:val="-9"/>
          <w:sz w:val="24"/>
          <w:u w:val="single"/>
        </w:rPr>
        <w:t> </w:t>
      </w:r>
      <w:r>
        <w:rPr>
          <w:b/>
          <w:spacing w:val="-2"/>
          <w:sz w:val="24"/>
          <w:u w:val="single"/>
        </w:rPr>
        <w:t>Zgjedhjeve</w:t>
      </w:r>
    </w:p>
    <w:p>
      <w:pPr>
        <w:pStyle w:val="BodyText"/>
        <w:spacing w:before="187"/>
        <w:ind w:left="120" w:right="101" w:hanging="3"/>
        <w:jc w:val="both"/>
      </w:pPr>
      <w:bookmarkStart w:name="Për të garantuar siguri ligjore, adminis" w:id="21"/>
      <w:bookmarkEnd w:id="21"/>
      <w:r>
        <w:rPr/>
      </w:r>
      <w:r>
        <w:rPr/>
        <w:t>Për të garantuar siguri ligjore, administrim efektiv të zgjedhjeve, si dhe për të shmangur revokimet dhe ndryshimet e shpeshta të vendimeve të KQZ-së nga vetë organet e saj drejtuese, rekomandohet të krijohet një mekanizëm më bashkëpunues ndërmjet këtyre organeve. Vlerësojmë se masa duhen marrë për rishqyrtimin e sistemit të komunikimit dhe procesin</w:t>
      </w:r>
      <w:r>
        <w:rPr>
          <w:spacing w:val="-15"/>
        </w:rPr>
        <w:t> </w:t>
      </w:r>
      <w:r>
        <w:rPr/>
        <w:t>e</w:t>
      </w:r>
      <w:r>
        <w:rPr>
          <w:spacing w:val="-15"/>
        </w:rPr>
        <w:t> </w:t>
      </w:r>
      <w:r>
        <w:rPr/>
        <w:t>diskutimit</w:t>
      </w:r>
      <w:r>
        <w:rPr>
          <w:spacing w:val="-14"/>
        </w:rPr>
        <w:t> </w:t>
      </w:r>
      <w:r>
        <w:rPr/>
        <w:t>ndërmjet</w:t>
      </w:r>
      <w:r>
        <w:rPr>
          <w:spacing w:val="-15"/>
        </w:rPr>
        <w:t> </w:t>
      </w:r>
      <w:r>
        <w:rPr/>
        <w:t>Komisionerit</w:t>
      </w:r>
      <w:r>
        <w:rPr>
          <w:spacing w:val="-15"/>
        </w:rPr>
        <w:t> </w:t>
      </w:r>
      <w:r>
        <w:rPr/>
        <w:t>Shtetëror</w:t>
      </w:r>
      <w:r>
        <w:rPr>
          <w:spacing w:val="-15"/>
        </w:rPr>
        <w:t> </w:t>
      </w:r>
      <w:r>
        <w:rPr/>
        <w:t>të</w:t>
      </w:r>
      <w:r>
        <w:rPr>
          <w:spacing w:val="-14"/>
        </w:rPr>
        <w:t> </w:t>
      </w:r>
      <w:r>
        <w:rPr/>
        <w:t>Zgjedhjeve,</w:t>
      </w:r>
      <w:r>
        <w:rPr>
          <w:spacing w:val="-13"/>
        </w:rPr>
        <w:t> </w:t>
      </w:r>
      <w:r>
        <w:rPr/>
        <w:t>Komisionit</w:t>
      </w:r>
      <w:r>
        <w:rPr>
          <w:spacing w:val="-15"/>
        </w:rPr>
        <w:t> </w:t>
      </w:r>
      <w:r>
        <w:rPr/>
        <w:t>Rregullator dhe Komisionit të Ankimimeve dhe Sanksioneve.</w:t>
      </w:r>
    </w:p>
    <w:p>
      <w:pPr>
        <w:pStyle w:val="BodyText"/>
        <w:spacing w:before="10"/>
        <w:rPr>
          <w:sz w:val="20"/>
        </w:rPr>
      </w:pPr>
    </w:p>
    <w:p>
      <w:pPr>
        <w:pStyle w:val="BodyText"/>
        <w:ind w:left="120" w:right="100" w:hanging="3"/>
        <w:jc w:val="both"/>
      </w:pPr>
      <w:bookmarkStart w:name="Është e këshillueshme që KQZ të miratojë" w:id="22"/>
      <w:bookmarkEnd w:id="22"/>
      <w:r>
        <w:rPr/>
      </w:r>
      <w:r>
        <w:rPr/>
        <w:t>Është e këshillueshme që KQZ të miratojë një udhëzues/komentar mbi shpjegimin e parashikimeve të Kodit Zgjedhor dhe administrimit</w:t>
      </w:r>
      <w:r>
        <w:rPr/>
        <w:t> zgjedhor,</w:t>
      </w:r>
      <w:r>
        <w:rPr/>
        <w:t> mbi</w:t>
      </w:r>
      <w:r>
        <w:rPr/>
        <w:t> leximin</w:t>
      </w:r>
      <w:r>
        <w:rPr/>
        <w:t> ligjor</w:t>
      </w:r>
      <w:r>
        <w:rPr/>
        <w:t> të dispozitave, afateve dhe elementëve teknikë që burojnë nga Kodi, mbi formën e votimit, fletën e votimit dhe detaje të tjera, të cilat u konstatuan problematike dhe burim konflikti institucional e politik edhe në këto zgjedhje.</w:t>
      </w:r>
    </w:p>
    <w:p>
      <w:pPr>
        <w:pStyle w:val="BodyText"/>
        <w:spacing w:before="10"/>
        <w:rPr>
          <w:sz w:val="20"/>
        </w:rPr>
      </w:pPr>
    </w:p>
    <w:p>
      <w:pPr>
        <w:pStyle w:val="BodyText"/>
        <w:spacing w:before="1"/>
        <w:ind w:left="120" w:right="105" w:hanging="3"/>
        <w:jc w:val="both"/>
      </w:pPr>
      <w:bookmarkStart w:name="Rekomandohet përmirësimi dhe forcimi i k" w:id="23"/>
      <w:bookmarkEnd w:id="23"/>
      <w:r>
        <w:rPr/>
      </w:r>
      <w:r>
        <w:rPr/>
        <w:t>Rekomandohet përmirësimi dhe forcimi i kuadrit ligjor për proceset zgjedhore dhe financimin e partive politike për të garantuar transparencë dhe kontroll më efektiv mbi financimin e paligjshëm, keqpërdorimin e burimeve shtetërore dhe presionin institucional.</w:t>
      </w:r>
    </w:p>
    <w:p>
      <w:pPr>
        <w:pStyle w:val="BodyText"/>
        <w:spacing w:before="10"/>
        <w:rPr>
          <w:sz w:val="20"/>
        </w:rPr>
      </w:pPr>
    </w:p>
    <w:p>
      <w:pPr>
        <w:pStyle w:val="BodyText"/>
        <w:ind w:left="119" w:right="101" w:hanging="3"/>
        <w:jc w:val="both"/>
      </w:pPr>
      <w:bookmarkStart w:name="Shpërdorimi i burimeve administrative sh" w:id="24"/>
      <w:bookmarkEnd w:id="24"/>
      <w:r>
        <w:rPr/>
      </w:r>
      <w:r>
        <w:rPr/>
        <w:t>Shpërdorimi</w:t>
      </w:r>
      <w:r>
        <w:rPr>
          <w:spacing w:val="-1"/>
        </w:rPr>
        <w:t> </w:t>
      </w:r>
      <w:r>
        <w:rPr/>
        <w:t>i</w:t>
      </w:r>
      <w:r>
        <w:rPr>
          <w:spacing w:val="-1"/>
        </w:rPr>
        <w:t> </w:t>
      </w:r>
      <w:r>
        <w:rPr/>
        <w:t>burimeve</w:t>
      </w:r>
      <w:r>
        <w:rPr>
          <w:spacing w:val="-2"/>
        </w:rPr>
        <w:t> </w:t>
      </w:r>
      <w:r>
        <w:rPr/>
        <w:t>administrative</w:t>
      </w:r>
      <w:r>
        <w:rPr>
          <w:spacing w:val="-3"/>
        </w:rPr>
        <w:t> </w:t>
      </w:r>
      <w:r>
        <w:rPr/>
        <w:t>shtetërore në</w:t>
      </w:r>
      <w:r>
        <w:rPr>
          <w:spacing w:val="-2"/>
        </w:rPr>
        <w:t> </w:t>
      </w:r>
      <w:r>
        <w:rPr/>
        <w:t>mbledhjet</w:t>
      </w:r>
      <w:r>
        <w:rPr>
          <w:spacing w:val="-1"/>
        </w:rPr>
        <w:t> </w:t>
      </w:r>
      <w:r>
        <w:rPr/>
        <w:t>apo</w:t>
      </w:r>
      <w:r>
        <w:rPr>
          <w:spacing w:val="-1"/>
        </w:rPr>
        <w:t> </w:t>
      </w:r>
      <w:r>
        <w:rPr/>
        <w:t>takimet</w:t>
      </w:r>
      <w:r>
        <w:rPr>
          <w:spacing w:val="-1"/>
        </w:rPr>
        <w:t> </w:t>
      </w:r>
      <w:r>
        <w:rPr/>
        <w:t>e</w:t>
      </w:r>
      <w:r>
        <w:rPr>
          <w:spacing w:val="-2"/>
        </w:rPr>
        <w:t> </w:t>
      </w:r>
      <w:r>
        <w:rPr/>
        <w:t>realizuara</w:t>
      </w:r>
      <w:r>
        <w:rPr>
          <w:spacing w:val="-2"/>
        </w:rPr>
        <w:t> </w:t>
      </w:r>
      <w:r>
        <w:rPr/>
        <w:t>nga përfaqësues të ndryshëm të subjekteve zgjedhore, është një nga problemet sistemike dhe nevralgjike</w:t>
      </w:r>
      <w:r>
        <w:rPr>
          <w:spacing w:val="-13"/>
        </w:rPr>
        <w:t> </w:t>
      </w:r>
      <w:r>
        <w:rPr/>
        <w:t>të</w:t>
      </w:r>
      <w:r>
        <w:rPr>
          <w:spacing w:val="-13"/>
        </w:rPr>
        <w:t> </w:t>
      </w:r>
      <w:r>
        <w:rPr/>
        <w:t>zgjedhjeve</w:t>
      </w:r>
      <w:r>
        <w:rPr>
          <w:spacing w:val="-8"/>
        </w:rPr>
        <w:t> </w:t>
      </w:r>
      <w:r>
        <w:rPr/>
        <w:t>në</w:t>
      </w:r>
      <w:r>
        <w:rPr>
          <w:spacing w:val="-13"/>
        </w:rPr>
        <w:t> </w:t>
      </w:r>
      <w:r>
        <w:rPr/>
        <w:t>vendin</w:t>
      </w:r>
      <w:r>
        <w:rPr>
          <w:spacing w:val="-12"/>
        </w:rPr>
        <w:t> </w:t>
      </w:r>
      <w:r>
        <w:rPr/>
        <w:t>tonë.</w:t>
      </w:r>
      <w:r>
        <w:rPr>
          <w:spacing w:val="-12"/>
        </w:rPr>
        <w:t> </w:t>
      </w:r>
      <w:r>
        <w:rPr/>
        <w:t>Ka</w:t>
      </w:r>
      <w:r>
        <w:rPr>
          <w:spacing w:val="-13"/>
        </w:rPr>
        <w:t> </w:t>
      </w:r>
      <w:r>
        <w:rPr/>
        <w:t>pasur</w:t>
      </w:r>
      <w:r>
        <w:rPr>
          <w:spacing w:val="-10"/>
        </w:rPr>
        <w:t> </w:t>
      </w:r>
      <w:r>
        <w:rPr/>
        <w:t>raste</w:t>
      </w:r>
      <w:r>
        <w:rPr>
          <w:spacing w:val="-13"/>
        </w:rPr>
        <w:t> </w:t>
      </w:r>
      <w:r>
        <w:rPr/>
        <w:t>që</w:t>
      </w:r>
      <w:r>
        <w:rPr>
          <w:spacing w:val="-13"/>
        </w:rPr>
        <w:t> </w:t>
      </w:r>
      <w:r>
        <w:rPr/>
        <w:t>qytetarët</w:t>
      </w:r>
      <w:r>
        <w:rPr>
          <w:spacing w:val="-12"/>
        </w:rPr>
        <w:t> </w:t>
      </w:r>
      <w:r>
        <w:rPr/>
        <w:t>kanë</w:t>
      </w:r>
      <w:r>
        <w:rPr>
          <w:spacing w:val="-13"/>
        </w:rPr>
        <w:t> </w:t>
      </w:r>
      <w:r>
        <w:rPr/>
        <w:t>luajtur</w:t>
      </w:r>
      <w:r>
        <w:rPr>
          <w:spacing w:val="-13"/>
        </w:rPr>
        <w:t> </w:t>
      </w:r>
      <w:r>
        <w:rPr/>
        <w:t>rol</w:t>
      </w:r>
      <w:r>
        <w:rPr>
          <w:spacing w:val="-12"/>
        </w:rPr>
        <w:t> </w:t>
      </w:r>
      <w:r>
        <w:rPr/>
        <w:t>proaktiv në denoncimin mediatik, si dhe në rrjetet e tyre sociale, të rasteve të subjekteve zgjedhorë dhe kandidatëve të tyre, të cilët kanë shkelur parashikimet e legjislacionit zgjedhor në fuqi. KQZ duhet të konkludojë me një vendimmarrje standarde, mbi marrjen automatikisht në shqyrtim dhe trajtim të denoncimit përkatës, pa qenë i nevojshëm adresimi i kërkesës/denoncimit</w:t>
      </w:r>
      <w:r>
        <w:rPr>
          <w:spacing w:val="-1"/>
        </w:rPr>
        <w:t> </w:t>
      </w:r>
      <w:r>
        <w:rPr/>
        <w:t>nga një</w:t>
      </w:r>
      <w:r>
        <w:rPr>
          <w:spacing w:val="-2"/>
        </w:rPr>
        <w:t> </w:t>
      </w:r>
      <w:r>
        <w:rPr/>
        <w:t>subjekt</w:t>
      </w:r>
      <w:r>
        <w:rPr>
          <w:spacing w:val="-1"/>
        </w:rPr>
        <w:t> </w:t>
      </w:r>
      <w:r>
        <w:rPr/>
        <w:t>zgjedhor.</w:t>
      </w:r>
      <w:r>
        <w:rPr>
          <w:spacing w:val="-1"/>
        </w:rPr>
        <w:t> </w:t>
      </w:r>
      <w:r>
        <w:rPr/>
        <w:t>Hetimi</w:t>
      </w:r>
      <w:r>
        <w:rPr>
          <w:spacing w:val="-1"/>
        </w:rPr>
        <w:t> </w:t>
      </w:r>
      <w:r>
        <w:rPr/>
        <w:t>nga</w:t>
      </w:r>
      <w:r>
        <w:rPr>
          <w:spacing w:val="-2"/>
        </w:rPr>
        <w:t> </w:t>
      </w:r>
      <w:r>
        <w:rPr/>
        <w:t>ana</w:t>
      </w:r>
      <w:r>
        <w:rPr>
          <w:spacing w:val="-2"/>
        </w:rPr>
        <w:t> </w:t>
      </w:r>
      <w:r>
        <w:rPr/>
        <w:t>e</w:t>
      </w:r>
      <w:r>
        <w:rPr>
          <w:spacing w:val="-2"/>
        </w:rPr>
        <w:t> </w:t>
      </w:r>
      <w:r>
        <w:rPr/>
        <w:t>KQZ-së</w:t>
      </w:r>
      <w:r>
        <w:rPr>
          <w:spacing w:val="-2"/>
        </w:rPr>
        <w:t> </w:t>
      </w:r>
      <w:r>
        <w:rPr/>
        <w:t>duhet</w:t>
      </w:r>
      <w:r>
        <w:rPr>
          <w:spacing w:val="-1"/>
        </w:rPr>
        <w:t> </w:t>
      </w:r>
      <w:r>
        <w:rPr/>
        <w:t>të</w:t>
      </w:r>
      <w:r>
        <w:rPr>
          <w:spacing w:val="-2"/>
        </w:rPr>
        <w:t> </w:t>
      </w:r>
      <w:r>
        <w:rPr/>
        <w:t>realizohet brenda afateve të arsyeshme, përpara datës së zgjedhjeve, me synim kontributin në rritjen e besimit të qytetarëve tek roli i KQZ-së.</w:t>
      </w:r>
    </w:p>
    <w:p>
      <w:pPr>
        <w:pStyle w:val="BodyText"/>
        <w:spacing w:before="7"/>
        <w:rPr>
          <w:sz w:val="20"/>
        </w:rPr>
      </w:pPr>
    </w:p>
    <w:p>
      <w:pPr>
        <w:pStyle w:val="BodyText"/>
        <w:spacing w:before="1"/>
        <w:ind w:left="119" w:right="103" w:hanging="3"/>
        <w:jc w:val="both"/>
      </w:pPr>
      <w:bookmarkStart w:name="Për të mbikqyrur kufizimet e përdorimit " w:id="25"/>
      <w:bookmarkEnd w:id="25"/>
      <w:r>
        <w:rPr/>
      </w:r>
      <w:r>
        <w:rPr/>
        <w:t>Për të mbikqyrur kufizimet e përdorimit të burimeve shtetërore në zgjedhje është e nevojshme</w:t>
      </w:r>
      <w:r>
        <w:rPr>
          <w:spacing w:val="-12"/>
        </w:rPr>
        <w:t> </w:t>
      </w:r>
      <w:r>
        <w:rPr/>
        <w:t>që</w:t>
      </w:r>
      <w:r>
        <w:rPr>
          <w:spacing w:val="-11"/>
        </w:rPr>
        <w:t> </w:t>
      </w:r>
      <w:r>
        <w:rPr/>
        <w:t>KQZ</w:t>
      </w:r>
      <w:r>
        <w:rPr>
          <w:spacing w:val="-13"/>
        </w:rPr>
        <w:t> </w:t>
      </w:r>
      <w:r>
        <w:rPr/>
        <w:t>të</w:t>
      </w:r>
      <w:r>
        <w:rPr>
          <w:spacing w:val="-12"/>
        </w:rPr>
        <w:t> </w:t>
      </w:r>
      <w:r>
        <w:rPr/>
        <w:t>ketë</w:t>
      </w:r>
      <w:r>
        <w:rPr>
          <w:spacing w:val="-12"/>
        </w:rPr>
        <w:t> </w:t>
      </w:r>
      <w:r>
        <w:rPr/>
        <w:t>burimet</w:t>
      </w:r>
      <w:r>
        <w:rPr>
          <w:spacing w:val="-10"/>
        </w:rPr>
        <w:t> </w:t>
      </w:r>
      <w:r>
        <w:rPr/>
        <w:t>e</w:t>
      </w:r>
      <w:r>
        <w:rPr>
          <w:spacing w:val="-12"/>
        </w:rPr>
        <w:t> </w:t>
      </w:r>
      <w:r>
        <w:rPr/>
        <w:t>mjaftueshme</w:t>
      </w:r>
      <w:r>
        <w:rPr>
          <w:spacing w:val="-12"/>
        </w:rPr>
        <w:t> </w:t>
      </w:r>
      <w:r>
        <w:rPr/>
        <w:t>njerëzore</w:t>
      </w:r>
      <w:r>
        <w:rPr>
          <w:spacing w:val="-12"/>
        </w:rPr>
        <w:t> </w:t>
      </w:r>
      <w:r>
        <w:rPr/>
        <w:t>dhe</w:t>
      </w:r>
      <w:r>
        <w:rPr>
          <w:spacing w:val="-12"/>
        </w:rPr>
        <w:t> </w:t>
      </w:r>
      <w:r>
        <w:rPr/>
        <w:t>kapacitetet</w:t>
      </w:r>
      <w:r>
        <w:rPr>
          <w:spacing w:val="-10"/>
        </w:rPr>
        <w:t> </w:t>
      </w:r>
      <w:r>
        <w:rPr/>
        <w:t>për</w:t>
      </w:r>
      <w:r>
        <w:rPr>
          <w:spacing w:val="-11"/>
        </w:rPr>
        <w:t> </w:t>
      </w:r>
      <w:r>
        <w:rPr/>
        <w:t>monitorimet në terrenm për të zhvilluar hetimet e shpejta e të plota administrative</w:t>
      </w:r>
      <w:r>
        <w:rPr/>
        <w:t> për</w:t>
      </w:r>
      <w:r>
        <w:rPr/>
        <w:t> shkeljet e raportuara, duke evituar vonesat dhe mundësuar sa më shumë të jetë e mundur vendimmarrjen përpara ditës së zgjedhjeve. Kufizimi i apelimit në KAS të çdo vendimmarrje/sanksioni administrativ</w:t>
      </w:r>
      <w:r>
        <w:rPr/>
        <w:t> të</w:t>
      </w:r>
      <w:r>
        <w:rPr/>
        <w:t> Komisionerit Shtetëror të Zgjedhjeve, duke i trajtuar</w:t>
      </w:r>
      <w:r>
        <w:rPr>
          <w:spacing w:val="31"/>
        </w:rPr>
        <w:t> </w:t>
      </w:r>
      <w:r>
        <w:rPr/>
        <w:t>ato</w:t>
      </w:r>
      <w:r>
        <w:rPr>
          <w:spacing w:val="33"/>
        </w:rPr>
        <w:t> </w:t>
      </w:r>
      <w:r>
        <w:rPr/>
        <w:t>si</w:t>
      </w:r>
      <w:r>
        <w:rPr>
          <w:spacing w:val="33"/>
        </w:rPr>
        <w:t> </w:t>
      </w:r>
      <w:r>
        <w:rPr/>
        <w:t>masa</w:t>
      </w:r>
      <w:r>
        <w:rPr>
          <w:spacing w:val="32"/>
        </w:rPr>
        <w:t> </w:t>
      </w:r>
      <w:r>
        <w:rPr/>
        <w:t>të</w:t>
      </w:r>
      <w:r>
        <w:rPr>
          <w:spacing w:val="32"/>
        </w:rPr>
        <w:t> </w:t>
      </w:r>
      <w:r>
        <w:rPr/>
        <w:t>apelueshme</w:t>
      </w:r>
      <w:r>
        <w:rPr>
          <w:spacing w:val="32"/>
        </w:rPr>
        <w:t> </w:t>
      </w:r>
      <w:r>
        <w:rPr/>
        <w:t>në</w:t>
      </w:r>
      <w:r>
        <w:rPr>
          <w:spacing w:val="33"/>
        </w:rPr>
        <w:t> </w:t>
      </w:r>
      <w:r>
        <w:rPr/>
        <w:t>gjykatën</w:t>
      </w:r>
      <w:r>
        <w:rPr>
          <w:spacing w:val="35"/>
        </w:rPr>
        <w:t> </w:t>
      </w:r>
      <w:r>
        <w:rPr/>
        <w:t>administrative,</w:t>
      </w:r>
      <w:r>
        <w:rPr>
          <w:spacing w:val="32"/>
        </w:rPr>
        <w:t> </w:t>
      </w:r>
      <w:r>
        <w:rPr/>
        <w:t>mund</w:t>
      </w:r>
      <w:r>
        <w:rPr>
          <w:spacing w:val="31"/>
        </w:rPr>
        <w:t> </w:t>
      </w:r>
      <w:r>
        <w:rPr/>
        <w:t>të</w:t>
      </w:r>
      <w:r>
        <w:rPr>
          <w:spacing w:val="30"/>
        </w:rPr>
        <w:t> </w:t>
      </w:r>
      <w:r>
        <w:rPr/>
        <w:t>jetë</w:t>
      </w:r>
      <w:r>
        <w:rPr>
          <w:spacing w:val="30"/>
        </w:rPr>
        <w:t> </w:t>
      </w:r>
      <w:r>
        <w:rPr/>
        <w:t>një</w:t>
      </w:r>
      <w:r>
        <w:rPr>
          <w:spacing w:val="31"/>
        </w:rPr>
        <w:t> </w:t>
      </w:r>
      <w:r>
        <w:rPr>
          <w:spacing w:val="-2"/>
        </w:rPr>
        <w:t>praktikë</w:t>
      </w:r>
    </w:p>
    <w:p>
      <w:pPr>
        <w:spacing w:after="0"/>
        <w:jc w:val="both"/>
        <w:sectPr>
          <w:pgSz w:w="11910" w:h="16850"/>
          <w:pgMar w:header="600" w:footer="0" w:top="2100" w:bottom="280" w:left="1500" w:right="1360"/>
        </w:sectPr>
      </w:pPr>
    </w:p>
    <w:p>
      <w:pPr>
        <w:pStyle w:val="BodyText"/>
        <w:ind w:left="119" w:right="101"/>
        <w:jc w:val="both"/>
      </w:pPr>
      <w:r>
        <w:rPr/>
        <w:t>efiçente</w:t>
      </w:r>
      <w:r>
        <w:rPr/>
        <w:t> për</w:t>
      </w:r>
      <w:r>
        <w:rPr/>
        <w:t> të</w:t>
      </w:r>
      <w:r>
        <w:rPr/>
        <w:t> inkurajuar</w:t>
      </w:r>
      <w:r>
        <w:rPr/>
        <w:t> raportimet</w:t>
      </w:r>
      <w:r>
        <w:rPr/>
        <w:t> dhe</w:t>
      </w:r>
      <w:r>
        <w:rPr/>
        <w:t> evituar</w:t>
      </w:r>
      <w:r>
        <w:rPr/>
        <w:t> interpretime/qëndrime</w:t>
      </w:r>
      <w:r>
        <w:rPr/>
        <w:t> të</w:t>
      </w:r>
      <w:r>
        <w:rPr/>
        <w:t> ndryshme të sanksioneve</w:t>
      </w:r>
      <w:r>
        <w:rPr>
          <w:spacing w:val="-13"/>
        </w:rPr>
        <w:t> </w:t>
      </w:r>
      <w:r>
        <w:rPr/>
        <w:t>të</w:t>
      </w:r>
      <w:r>
        <w:rPr>
          <w:spacing w:val="-11"/>
        </w:rPr>
        <w:t> </w:t>
      </w:r>
      <w:r>
        <w:rPr/>
        <w:t>Kodit</w:t>
      </w:r>
      <w:r>
        <w:rPr>
          <w:spacing w:val="-9"/>
        </w:rPr>
        <w:t> </w:t>
      </w:r>
      <w:r>
        <w:rPr/>
        <w:t>Zgjedhor</w:t>
      </w:r>
      <w:r>
        <w:rPr>
          <w:spacing w:val="-13"/>
        </w:rPr>
        <w:t> </w:t>
      </w:r>
      <w:r>
        <w:rPr/>
        <w:t>brenda</w:t>
      </w:r>
      <w:r>
        <w:rPr>
          <w:spacing w:val="-11"/>
        </w:rPr>
        <w:t> </w:t>
      </w:r>
      <w:r>
        <w:rPr/>
        <w:t>organeve</w:t>
      </w:r>
      <w:r>
        <w:rPr>
          <w:spacing w:val="-11"/>
        </w:rPr>
        <w:t> </w:t>
      </w:r>
      <w:r>
        <w:rPr/>
        <w:t>të</w:t>
      </w:r>
      <w:r>
        <w:rPr>
          <w:spacing w:val="-11"/>
        </w:rPr>
        <w:t> </w:t>
      </w:r>
      <w:r>
        <w:rPr/>
        <w:t>KQZ.</w:t>
      </w:r>
      <w:r>
        <w:rPr>
          <w:spacing w:val="-10"/>
        </w:rPr>
        <w:t> </w:t>
      </w:r>
      <w:r>
        <w:rPr/>
        <w:t>KQZ</w:t>
      </w:r>
      <w:r>
        <w:rPr>
          <w:spacing w:val="-14"/>
        </w:rPr>
        <w:t> </w:t>
      </w:r>
      <w:r>
        <w:rPr/>
        <w:t>duhet</w:t>
      </w:r>
      <w:r>
        <w:rPr>
          <w:spacing w:val="-12"/>
        </w:rPr>
        <w:t> </w:t>
      </w:r>
      <w:r>
        <w:rPr/>
        <w:t>të</w:t>
      </w:r>
      <w:r>
        <w:rPr>
          <w:spacing w:val="-11"/>
        </w:rPr>
        <w:t> </w:t>
      </w:r>
      <w:r>
        <w:rPr/>
        <w:t>hartojë</w:t>
      </w:r>
      <w:r>
        <w:rPr>
          <w:spacing w:val="-13"/>
        </w:rPr>
        <w:t> </w:t>
      </w:r>
      <w:r>
        <w:rPr/>
        <w:t>dhe</w:t>
      </w:r>
      <w:r>
        <w:rPr>
          <w:spacing w:val="-13"/>
        </w:rPr>
        <w:t> </w:t>
      </w:r>
      <w:r>
        <w:rPr/>
        <w:t>publikojë një</w:t>
      </w:r>
      <w:r>
        <w:rPr>
          <w:spacing w:val="-7"/>
        </w:rPr>
        <w:t> </w:t>
      </w:r>
      <w:r>
        <w:rPr/>
        <w:t>format</w:t>
      </w:r>
      <w:r>
        <w:rPr>
          <w:spacing w:val="-5"/>
        </w:rPr>
        <w:t> </w:t>
      </w:r>
      <w:r>
        <w:rPr/>
        <w:t>raportimi</w:t>
      </w:r>
      <w:r>
        <w:rPr>
          <w:spacing w:val="-5"/>
        </w:rPr>
        <w:t> </w:t>
      </w:r>
      <w:r>
        <w:rPr/>
        <w:t>për</w:t>
      </w:r>
      <w:r>
        <w:rPr>
          <w:spacing w:val="-7"/>
        </w:rPr>
        <w:t> </w:t>
      </w:r>
      <w:r>
        <w:rPr/>
        <w:t>institucionet</w:t>
      </w:r>
      <w:r>
        <w:rPr>
          <w:spacing w:val="-5"/>
        </w:rPr>
        <w:t> </w:t>
      </w:r>
      <w:r>
        <w:rPr/>
        <w:t>publike,</w:t>
      </w:r>
      <w:r>
        <w:rPr>
          <w:spacing w:val="-6"/>
        </w:rPr>
        <w:t> </w:t>
      </w:r>
      <w:r>
        <w:rPr/>
        <w:t>për</w:t>
      </w:r>
      <w:r>
        <w:rPr>
          <w:spacing w:val="-7"/>
        </w:rPr>
        <w:t> </w:t>
      </w:r>
      <w:r>
        <w:rPr/>
        <w:t>të</w:t>
      </w:r>
      <w:r>
        <w:rPr>
          <w:spacing w:val="-7"/>
        </w:rPr>
        <w:t> </w:t>
      </w:r>
      <w:r>
        <w:rPr/>
        <w:t>përmirësuar</w:t>
      </w:r>
      <w:r>
        <w:rPr>
          <w:spacing w:val="-7"/>
        </w:rPr>
        <w:t> </w:t>
      </w:r>
      <w:r>
        <w:rPr/>
        <w:t>procesin</w:t>
      </w:r>
      <w:r>
        <w:rPr>
          <w:spacing w:val="-6"/>
        </w:rPr>
        <w:t> </w:t>
      </w:r>
      <w:r>
        <w:rPr/>
        <w:t>dhe</w:t>
      </w:r>
      <w:r>
        <w:rPr>
          <w:spacing w:val="-7"/>
        </w:rPr>
        <w:t> </w:t>
      </w:r>
      <w:r>
        <w:rPr/>
        <w:t>përmbajtjen</w:t>
      </w:r>
      <w:r>
        <w:rPr>
          <w:spacing w:val="-6"/>
        </w:rPr>
        <w:t> </w:t>
      </w:r>
      <w:r>
        <w:rPr/>
        <w:t>e raportimit të aktiviteteve. Kjo duhet të shoqërohet me një fushatë informuese e ndërgjegjësuese me përfshirjen e institucioneve.</w:t>
      </w:r>
    </w:p>
    <w:p>
      <w:pPr>
        <w:pStyle w:val="BodyText"/>
        <w:spacing w:before="9"/>
        <w:rPr>
          <w:sz w:val="20"/>
        </w:rPr>
      </w:pPr>
    </w:p>
    <w:p>
      <w:pPr>
        <w:pStyle w:val="BodyText"/>
        <w:ind w:left="119" w:right="101" w:hanging="3"/>
        <w:jc w:val="both"/>
      </w:pPr>
      <w:bookmarkStart w:name="KQZ duhet të zgjerojë listën e akteve të" w:id="26"/>
      <w:bookmarkEnd w:id="26"/>
      <w:r>
        <w:rPr/>
      </w:r>
      <w:r>
        <w:rPr/>
        <w:t>KQZ</w:t>
      </w:r>
      <w:r>
        <w:rPr>
          <w:spacing w:val="-3"/>
        </w:rPr>
        <w:t> </w:t>
      </w:r>
      <w:r>
        <w:rPr/>
        <w:t>duhet të</w:t>
      </w:r>
      <w:r>
        <w:rPr>
          <w:spacing w:val="-1"/>
        </w:rPr>
        <w:t> </w:t>
      </w:r>
      <w:r>
        <w:rPr/>
        <w:t>zgjerojë</w:t>
      </w:r>
      <w:r>
        <w:rPr>
          <w:spacing w:val="-1"/>
        </w:rPr>
        <w:t> </w:t>
      </w:r>
      <w:r>
        <w:rPr/>
        <w:t>listën e</w:t>
      </w:r>
      <w:r>
        <w:rPr>
          <w:spacing w:val="-1"/>
        </w:rPr>
        <w:t> </w:t>
      </w:r>
      <w:r>
        <w:rPr/>
        <w:t>akteve</w:t>
      </w:r>
      <w:r>
        <w:rPr>
          <w:spacing w:val="-1"/>
        </w:rPr>
        <w:t> </w:t>
      </w:r>
      <w:r>
        <w:rPr/>
        <w:t>të</w:t>
      </w:r>
      <w:r>
        <w:rPr>
          <w:spacing w:val="-1"/>
        </w:rPr>
        <w:t> </w:t>
      </w:r>
      <w:r>
        <w:rPr/>
        <w:t>ndaluara</w:t>
      </w:r>
      <w:r>
        <w:rPr>
          <w:spacing w:val="-1"/>
        </w:rPr>
        <w:t> </w:t>
      </w:r>
      <w:r>
        <w:rPr/>
        <w:t>në</w:t>
      </w:r>
      <w:r>
        <w:rPr>
          <w:spacing w:val="-1"/>
        </w:rPr>
        <w:t> </w:t>
      </w:r>
      <w:r>
        <w:rPr/>
        <w:t>fushatë</w:t>
      </w:r>
      <w:r>
        <w:rPr>
          <w:spacing w:val="-1"/>
        </w:rPr>
        <w:t> </w:t>
      </w:r>
      <w:r>
        <w:rPr/>
        <w:t>elektorale, përfshirë</w:t>
      </w:r>
      <w:r>
        <w:rPr>
          <w:spacing w:val="-1"/>
        </w:rPr>
        <w:t> </w:t>
      </w:r>
      <w:r>
        <w:rPr/>
        <w:t>ndalimin e publikimit të aktiviteteve elektorale nga faqet zyrtare </w:t>
      </w:r>
      <w:r>
        <w:rPr>
          <w:i/>
        </w:rPr>
        <w:t>online </w:t>
      </w:r>
      <w:r>
        <w:rPr/>
        <w:t>te institucioneve shtetërore. Gjithashtu duhet të monitorojë praktikat e organizimeve turistike, aktiviteteve kulturore e sportive,</w:t>
      </w:r>
      <w:r>
        <w:rPr/>
        <w:t> shpërndarjen e ndihmave dhe dhuratave, të kryera gjatë fushatës elektorale nga zyrtarë politikë ose kandidatë e subjekte elektorale.</w:t>
      </w:r>
    </w:p>
    <w:p>
      <w:pPr>
        <w:pStyle w:val="BodyText"/>
        <w:spacing w:before="10"/>
        <w:rPr>
          <w:sz w:val="20"/>
        </w:rPr>
      </w:pPr>
    </w:p>
    <w:p>
      <w:pPr>
        <w:pStyle w:val="BodyText"/>
        <w:ind w:left="119" w:right="104" w:hanging="3"/>
        <w:jc w:val="both"/>
      </w:pPr>
      <w:bookmarkStart w:name="Në këtë frymë, rekomandohet rishikimi dh" w:id="27"/>
      <w:bookmarkEnd w:id="27"/>
      <w:r>
        <w:rPr/>
      </w:r>
      <w:r>
        <w:rPr/>
        <w:t>Në këtë frymë, rekomandohet rishikimi dhe ndryshimi i Vendimit nr.9/2020 të Komisionit Rregullator pranë KQZ, për raportimin e veprimtarive të ndaluara të zyrtarëve të lartë publikë, më konkretisht:</w:t>
      </w:r>
    </w:p>
    <w:p>
      <w:pPr>
        <w:pStyle w:val="BodyText"/>
        <w:spacing w:before="10"/>
        <w:rPr>
          <w:sz w:val="20"/>
        </w:rPr>
      </w:pPr>
    </w:p>
    <w:p>
      <w:pPr>
        <w:pStyle w:val="ListParagraph"/>
        <w:numPr>
          <w:ilvl w:val="0"/>
          <w:numId w:val="2"/>
        </w:numPr>
        <w:tabs>
          <w:tab w:pos="840" w:val="left" w:leader="none"/>
        </w:tabs>
        <w:spacing w:line="240" w:lineRule="auto" w:before="0" w:after="0"/>
        <w:ind w:left="119" w:right="105" w:hanging="3"/>
        <w:jc w:val="both"/>
        <w:rPr>
          <w:sz w:val="24"/>
        </w:rPr>
      </w:pPr>
      <w:bookmarkStart w:name="a) Ndryshimi i pikës 1.1 e nenit 3 të Ve" w:id="28"/>
      <w:bookmarkEnd w:id="28"/>
      <w:r>
        <w:rPr>
          <w:sz w:val="24"/>
        </w:rPr>
        <w:t>N</w:t>
      </w:r>
      <w:r>
        <w:rPr>
          <w:sz w:val="24"/>
        </w:rPr>
        <w:t>dryshimi</w:t>
      </w:r>
      <w:r>
        <w:rPr>
          <w:spacing w:val="-7"/>
          <w:sz w:val="24"/>
        </w:rPr>
        <w:t> </w:t>
      </w:r>
      <w:r>
        <w:rPr>
          <w:sz w:val="24"/>
        </w:rPr>
        <w:t>i</w:t>
      </w:r>
      <w:r>
        <w:rPr>
          <w:spacing w:val="-7"/>
          <w:sz w:val="24"/>
        </w:rPr>
        <w:t> </w:t>
      </w:r>
      <w:r>
        <w:rPr>
          <w:sz w:val="24"/>
        </w:rPr>
        <w:t>pikës</w:t>
      </w:r>
      <w:r>
        <w:rPr>
          <w:spacing w:val="-7"/>
          <w:sz w:val="24"/>
        </w:rPr>
        <w:t> </w:t>
      </w:r>
      <w:r>
        <w:rPr>
          <w:sz w:val="24"/>
        </w:rPr>
        <w:t>1.1</w:t>
      </w:r>
      <w:r>
        <w:rPr>
          <w:spacing w:val="-5"/>
          <w:sz w:val="24"/>
        </w:rPr>
        <w:t> </w:t>
      </w:r>
      <w:r>
        <w:rPr>
          <w:sz w:val="24"/>
        </w:rPr>
        <w:t>e</w:t>
      </w:r>
      <w:r>
        <w:rPr>
          <w:spacing w:val="-8"/>
          <w:sz w:val="24"/>
        </w:rPr>
        <w:t> </w:t>
      </w:r>
      <w:r>
        <w:rPr>
          <w:sz w:val="24"/>
        </w:rPr>
        <w:t>nenit</w:t>
      </w:r>
      <w:r>
        <w:rPr>
          <w:spacing w:val="-7"/>
          <w:sz w:val="24"/>
        </w:rPr>
        <w:t> </w:t>
      </w:r>
      <w:r>
        <w:rPr>
          <w:sz w:val="24"/>
        </w:rPr>
        <w:t>3</w:t>
      </w:r>
      <w:r>
        <w:rPr>
          <w:spacing w:val="-7"/>
          <w:sz w:val="24"/>
        </w:rPr>
        <w:t> </w:t>
      </w:r>
      <w:r>
        <w:rPr>
          <w:sz w:val="24"/>
        </w:rPr>
        <w:t>të</w:t>
      </w:r>
      <w:r>
        <w:rPr>
          <w:spacing w:val="-6"/>
          <w:sz w:val="24"/>
        </w:rPr>
        <w:t> </w:t>
      </w:r>
      <w:r>
        <w:rPr>
          <w:sz w:val="24"/>
        </w:rPr>
        <w:t>Vendimit</w:t>
      </w:r>
      <w:r>
        <w:rPr>
          <w:spacing w:val="-7"/>
          <w:sz w:val="24"/>
        </w:rPr>
        <w:t> </w:t>
      </w:r>
      <w:r>
        <w:rPr>
          <w:sz w:val="24"/>
        </w:rPr>
        <w:t>9/2020</w:t>
      </w:r>
      <w:r>
        <w:rPr>
          <w:spacing w:val="-7"/>
          <w:sz w:val="24"/>
        </w:rPr>
        <w:t> </w:t>
      </w:r>
      <w:r>
        <w:rPr>
          <w:sz w:val="24"/>
        </w:rPr>
        <w:t>të</w:t>
      </w:r>
      <w:r>
        <w:rPr>
          <w:spacing w:val="-8"/>
          <w:sz w:val="24"/>
        </w:rPr>
        <w:t> </w:t>
      </w:r>
      <w:r>
        <w:rPr>
          <w:sz w:val="24"/>
        </w:rPr>
        <w:t>duke</w:t>
      </w:r>
      <w:r>
        <w:rPr>
          <w:spacing w:val="-6"/>
          <w:sz w:val="24"/>
        </w:rPr>
        <w:t> </w:t>
      </w:r>
      <w:r>
        <w:rPr>
          <w:sz w:val="24"/>
        </w:rPr>
        <w:t>hequr</w:t>
      </w:r>
      <w:r>
        <w:rPr>
          <w:spacing w:val="-6"/>
          <w:sz w:val="24"/>
        </w:rPr>
        <w:t> </w:t>
      </w:r>
      <w:r>
        <w:rPr>
          <w:sz w:val="24"/>
        </w:rPr>
        <w:t>togfjalëshin</w:t>
      </w:r>
      <w:r>
        <w:rPr>
          <w:spacing w:val="-7"/>
          <w:sz w:val="24"/>
        </w:rPr>
        <w:t> </w:t>
      </w:r>
      <w:r>
        <w:rPr>
          <w:sz w:val="24"/>
        </w:rPr>
        <w:t>“për</w:t>
      </w:r>
      <w:r>
        <w:rPr>
          <w:spacing w:val="-6"/>
          <w:sz w:val="24"/>
        </w:rPr>
        <w:t> </w:t>
      </w:r>
      <w:r>
        <w:rPr>
          <w:sz w:val="24"/>
        </w:rPr>
        <w:t>të cilat</w:t>
      </w:r>
      <w:r>
        <w:rPr>
          <w:spacing w:val="-2"/>
          <w:sz w:val="24"/>
        </w:rPr>
        <w:t> </w:t>
      </w:r>
      <w:r>
        <w:rPr>
          <w:sz w:val="24"/>
        </w:rPr>
        <w:t>janë</w:t>
      </w:r>
      <w:r>
        <w:rPr>
          <w:spacing w:val="-3"/>
          <w:sz w:val="24"/>
        </w:rPr>
        <w:t> </w:t>
      </w:r>
      <w:r>
        <w:rPr>
          <w:sz w:val="24"/>
        </w:rPr>
        <w:t>vënë</w:t>
      </w:r>
      <w:r>
        <w:rPr>
          <w:spacing w:val="-1"/>
          <w:sz w:val="24"/>
        </w:rPr>
        <w:t> </w:t>
      </w:r>
      <w:r>
        <w:rPr>
          <w:sz w:val="24"/>
        </w:rPr>
        <w:t>rishtazi</w:t>
      </w:r>
      <w:r>
        <w:rPr>
          <w:spacing w:val="-2"/>
          <w:sz w:val="24"/>
        </w:rPr>
        <w:t> </w:t>
      </w:r>
      <w:r>
        <w:rPr>
          <w:sz w:val="24"/>
        </w:rPr>
        <w:t>apo</w:t>
      </w:r>
      <w:r>
        <w:rPr>
          <w:spacing w:val="-2"/>
          <w:sz w:val="24"/>
        </w:rPr>
        <w:t> </w:t>
      </w:r>
      <w:r>
        <w:rPr>
          <w:sz w:val="24"/>
        </w:rPr>
        <w:t>posaçërisht</w:t>
      </w:r>
      <w:r>
        <w:rPr>
          <w:spacing w:val="-2"/>
          <w:sz w:val="24"/>
        </w:rPr>
        <w:t> </w:t>
      </w:r>
      <w:r>
        <w:rPr>
          <w:sz w:val="24"/>
        </w:rPr>
        <w:t>në</w:t>
      </w:r>
      <w:r>
        <w:rPr>
          <w:spacing w:val="-3"/>
          <w:sz w:val="24"/>
        </w:rPr>
        <w:t> </w:t>
      </w:r>
      <w:r>
        <w:rPr>
          <w:sz w:val="24"/>
        </w:rPr>
        <w:t>dispozicion,</w:t>
      </w:r>
      <w:r>
        <w:rPr>
          <w:spacing w:val="-2"/>
          <w:sz w:val="24"/>
        </w:rPr>
        <w:t> </w:t>
      </w:r>
      <w:r>
        <w:rPr>
          <w:sz w:val="24"/>
        </w:rPr>
        <w:t>apo</w:t>
      </w:r>
      <w:r>
        <w:rPr>
          <w:spacing w:val="-2"/>
          <w:sz w:val="24"/>
        </w:rPr>
        <w:t> </w:t>
      </w:r>
      <w:r>
        <w:rPr>
          <w:sz w:val="24"/>
        </w:rPr>
        <w:t>janë</w:t>
      </w:r>
      <w:r>
        <w:rPr>
          <w:spacing w:val="-1"/>
          <w:sz w:val="24"/>
        </w:rPr>
        <w:t> </w:t>
      </w:r>
      <w:r>
        <w:rPr>
          <w:sz w:val="24"/>
        </w:rPr>
        <w:t>transferuar</w:t>
      </w:r>
      <w:r>
        <w:rPr>
          <w:spacing w:val="-2"/>
          <w:sz w:val="24"/>
        </w:rPr>
        <w:t> </w:t>
      </w:r>
      <w:r>
        <w:rPr>
          <w:sz w:val="24"/>
        </w:rPr>
        <w:t>fonde</w:t>
      </w:r>
      <w:r>
        <w:rPr>
          <w:spacing w:val="-4"/>
          <w:sz w:val="24"/>
        </w:rPr>
        <w:t> </w:t>
      </w:r>
      <w:r>
        <w:rPr>
          <w:sz w:val="24"/>
        </w:rPr>
        <w:t>publike</w:t>
      </w:r>
      <w:r>
        <w:rPr>
          <w:spacing w:val="-4"/>
          <w:sz w:val="24"/>
        </w:rPr>
        <w:t> </w:t>
      </w:r>
      <w:r>
        <w:rPr>
          <w:sz w:val="24"/>
        </w:rPr>
        <w:t>jo </w:t>
      </w:r>
      <w:bookmarkStart w:name="b) Përfshirjen e mediave sociale në përk" w:id="29"/>
      <w:bookmarkEnd w:id="29"/>
      <w:r>
        <w:rPr>
          <w:sz w:val="24"/>
        </w:rPr>
        <w:t>s</w:t>
      </w:r>
      <w:r>
        <w:rPr>
          <w:sz w:val="24"/>
        </w:rPr>
        <w:t>ipas planit buxhetor të miratuar”;</w:t>
      </w:r>
    </w:p>
    <w:p>
      <w:pPr>
        <w:pStyle w:val="ListParagraph"/>
        <w:numPr>
          <w:ilvl w:val="0"/>
          <w:numId w:val="2"/>
        </w:numPr>
        <w:tabs>
          <w:tab w:pos="840" w:val="left" w:leader="none"/>
        </w:tabs>
        <w:spacing w:line="240" w:lineRule="auto" w:before="0" w:after="0"/>
        <w:ind w:left="119" w:right="103" w:hanging="3"/>
        <w:jc w:val="both"/>
        <w:rPr>
          <w:sz w:val="24"/>
        </w:rPr>
      </w:pPr>
      <w:r>
        <w:rPr>
          <w:sz w:val="24"/>
        </w:rPr>
        <w:t>Përfshirjen</w:t>
      </w:r>
      <w:r>
        <w:rPr>
          <w:spacing w:val="-1"/>
          <w:sz w:val="24"/>
        </w:rPr>
        <w:t> </w:t>
      </w:r>
      <w:r>
        <w:rPr>
          <w:sz w:val="24"/>
        </w:rPr>
        <w:t>e</w:t>
      </w:r>
      <w:r>
        <w:rPr>
          <w:spacing w:val="-2"/>
          <w:sz w:val="24"/>
        </w:rPr>
        <w:t> </w:t>
      </w:r>
      <w:r>
        <w:rPr>
          <w:sz w:val="24"/>
        </w:rPr>
        <w:t>mediave</w:t>
      </w:r>
      <w:r>
        <w:rPr>
          <w:spacing w:val="-2"/>
          <w:sz w:val="24"/>
        </w:rPr>
        <w:t> </w:t>
      </w:r>
      <w:r>
        <w:rPr>
          <w:sz w:val="24"/>
        </w:rPr>
        <w:t>sociale</w:t>
      </w:r>
      <w:r>
        <w:rPr>
          <w:spacing w:val="-2"/>
          <w:sz w:val="24"/>
        </w:rPr>
        <w:t> </w:t>
      </w:r>
      <w:r>
        <w:rPr>
          <w:sz w:val="24"/>
        </w:rPr>
        <w:t>në</w:t>
      </w:r>
      <w:r>
        <w:rPr>
          <w:spacing w:val="-2"/>
          <w:sz w:val="24"/>
        </w:rPr>
        <w:t> </w:t>
      </w:r>
      <w:r>
        <w:rPr>
          <w:sz w:val="24"/>
        </w:rPr>
        <w:t>përkufizimin</w:t>
      </w:r>
      <w:r>
        <w:rPr>
          <w:spacing w:val="-1"/>
          <w:sz w:val="24"/>
        </w:rPr>
        <w:t> </w:t>
      </w:r>
      <w:r>
        <w:rPr>
          <w:sz w:val="24"/>
        </w:rPr>
        <w:t>“media</w:t>
      </w:r>
      <w:r>
        <w:rPr>
          <w:spacing w:val="-2"/>
          <w:sz w:val="24"/>
        </w:rPr>
        <w:t> </w:t>
      </w:r>
      <w:r>
        <w:rPr>
          <w:sz w:val="24"/>
        </w:rPr>
        <w:t>publike”</w:t>
      </w:r>
      <w:r>
        <w:rPr>
          <w:spacing w:val="-2"/>
          <w:sz w:val="24"/>
        </w:rPr>
        <w:t> </w:t>
      </w:r>
      <w:r>
        <w:rPr>
          <w:sz w:val="24"/>
        </w:rPr>
        <w:t>duke</w:t>
      </w:r>
      <w:r>
        <w:rPr>
          <w:spacing w:val="-2"/>
          <w:sz w:val="24"/>
        </w:rPr>
        <w:t> </w:t>
      </w:r>
      <w:r>
        <w:rPr>
          <w:sz w:val="24"/>
        </w:rPr>
        <w:t>evituar</w:t>
      </w:r>
      <w:r>
        <w:rPr>
          <w:spacing w:val="-2"/>
          <w:sz w:val="24"/>
        </w:rPr>
        <w:t> </w:t>
      </w:r>
      <w:r>
        <w:rPr>
          <w:sz w:val="24"/>
        </w:rPr>
        <w:t>çdo</w:t>
      </w:r>
      <w:r>
        <w:rPr>
          <w:spacing w:val="-1"/>
          <w:sz w:val="24"/>
        </w:rPr>
        <w:t> </w:t>
      </w:r>
      <w:r>
        <w:rPr>
          <w:sz w:val="24"/>
        </w:rPr>
        <w:t>lloj mangësie dhe inkoherence në identifikimin dhe përcaktimin se çfarë përbën “veprimtari </w:t>
      </w:r>
      <w:r>
        <w:rPr>
          <w:spacing w:val="-2"/>
          <w:sz w:val="24"/>
        </w:rPr>
        <w:t>publike”;</w:t>
      </w:r>
    </w:p>
    <w:p>
      <w:pPr>
        <w:pStyle w:val="ListParagraph"/>
        <w:numPr>
          <w:ilvl w:val="0"/>
          <w:numId w:val="2"/>
        </w:numPr>
        <w:tabs>
          <w:tab w:pos="840" w:val="left" w:leader="none"/>
        </w:tabs>
        <w:spacing w:line="240" w:lineRule="auto" w:before="0" w:after="0"/>
        <w:ind w:left="119" w:right="101" w:hanging="3"/>
        <w:jc w:val="both"/>
        <w:rPr>
          <w:sz w:val="24"/>
        </w:rPr>
      </w:pPr>
      <w:bookmarkStart w:name="c) Të ketë një qartësim të përgjegjësisë" w:id="30"/>
      <w:bookmarkEnd w:id="30"/>
      <w:r>
        <w:rPr>
          <w:sz w:val="24"/>
        </w:rPr>
        <w:t>T</w:t>
      </w:r>
      <w:r>
        <w:rPr>
          <w:sz w:val="24"/>
        </w:rPr>
        <w:t>ë</w:t>
      </w:r>
      <w:r>
        <w:rPr>
          <w:spacing w:val="-5"/>
          <w:sz w:val="24"/>
        </w:rPr>
        <w:t> </w:t>
      </w:r>
      <w:r>
        <w:rPr>
          <w:sz w:val="24"/>
        </w:rPr>
        <w:t>ketë</w:t>
      </w:r>
      <w:r>
        <w:rPr>
          <w:spacing w:val="-5"/>
          <w:sz w:val="24"/>
        </w:rPr>
        <w:t> </w:t>
      </w:r>
      <w:r>
        <w:rPr>
          <w:sz w:val="24"/>
        </w:rPr>
        <w:t>një</w:t>
      </w:r>
      <w:r>
        <w:rPr>
          <w:spacing w:val="-5"/>
          <w:sz w:val="24"/>
        </w:rPr>
        <w:t> </w:t>
      </w:r>
      <w:r>
        <w:rPr>
          <w:sz w:val="24"/>
        </w:rPr>
        <w:t>qartësim</w:t>
      </w:r>
      <w:r>
        <w:rPr>
          <w:spacing w:val="-3"/>
          <w:sz w:val="24"/>
        </w:rPr>
        <w:t> </w:t>
      </w:r>
      <w:r>
        <w:rPr>
          <w:sz w:val="24"/>
        </w:rPr>
        <w:t>të</w:t>
      </w:r>
      <w:r>
        <w:rPr>
          <w:spacing w:val="-4"/>
          <w:sz w:val="24"/>
        </w:rPr>
        <w:t> </w:t>
      </w:r>
      <w:r>
        <w:rPr>
          <w:sz w:val="24"/>
        </w:rPr>
        <w:t>përgjegjësisë</w:t>
      </w:r>
      <w:r>
        <w:rPr>
          <w:spacing w:val="-4"/>
          <w:sz w:val="24"/>
        </w:rPr>
        <w:t> </w:t>
      </w:r>
      <w:r>
        <w:rPr>
          <w:sz w:val="24"/>
        </w:rPr>
        <w:t>administrative</w:t>
      </w:r>
      <w:r>
        <w:rPr>
          <w:spacing w:val="-5"/>
          <w:sz w:val="24"/>
        </w:rPr>
        <w:t> </w:t>
      </w:r>
      <w:r>
        <w:rPr>
          <w:sz w:val="24"/>
        </w:rPr>
        <w:t>për</w:t>
      </w:r>
      <w:r>
        <w:rPr>
          <w:spacing w:val="-5"/>
          <w:sz w:val="24"/>
        </w:rPr>
        <w:t> </w:t>
      </w:r>
      <w:r>
        <w:rPr>
          <w:sz w:val="24"/>
        </w:rPr>
        <w:t>zyrtarët</w:t>
      </w:r>
      <w:r>
        <w:rPr>
          <w:spacing w:val="-4"/>
          <w:sz w:val="24"/>
        </w:rPr>
        <w:t> </w:t>
      </w:r>
      <w:r>
        <w:rPr>
          <w:sz w:val="24"/>
        </w:rPr>
        <w:t>subjekt</w:t>
      </w:r>
      <w:r>
        <w:rPr>
          <w:spacing w:val="-3"/>
          <w:sz w:val="24"/>
        </w:rPr>
        <w:t> </w:t>
      </w:r>
      <w:r>
        <w:rPr>
          <w:sz w:val="24"/>
        </w:rPr>
        <w:t>i</w:t>
      </w:r>
      <w:r>
        <w:rPr>
          <w:spacing w:val="-3"/>
          <w:sz w:val="24"/>
        </w:rPr>
        <w:t> </w:t>
      </w:r>
      <w:r>
        <w:rPr>
          <w:sz w:val="24"/>
        </w:rPr>
        <w:t>kufizimeve të veprimtarive të ndaluara. Propozojmë që të përcaktohet më qartë në nenin 10 ndarja e përgjegjësisë institucionale dhe asaj personale në rast të mosraportimit apo promovimit të veprimtarive të ndaluara nga zyrtarët e lartë. Gjithashtu çmojnë së nevojitet të përkufizohet më qartë se cilët janë “subjektet nën përgjegjësi administrative”, për të cilët parashikohen sanksionet në nenin 10, pika 1 të këtij vendimi.</w:t>
      </w:r>
    </w:p>
    <w:p>
      <w:pPr>
        <w:pStyle w:val="BodyText"/>
        <w:spacing w:before="10"/>
        <w:rPr>
          <w:sz w:val="20"/>
        </w:rPr>
      </w:pPr>
    </w:p>
    <w:p>
      <w:pPr>
        <w:pStyle w:val="BodyText"/>
        <w:spacing w:before="1"/>
        <w:ind w:left="119" w:right="103" w:hanging="3"/>
        <w:jc w:val="both"/>
      </w:pPr>
      <w:bookmarkStart w:name="Kur ka shkelje të dukshme të Kodit Zgjed" w:id="31"/>
      <w:bookmarkEnd w:id="31"/>
      <w:r>
        <w:rPr/>
      </w:r>
      <w:r>
        <w:rPr/>
        <w:t>Kur ka shkelje të dukshme të Kodit Zgjedhor, të vlerësuara në frymën e praktikave të mira zgjedhore (rasti i patronazhistëve, thirrjeve për përfshirje të strukturave të pavarura dhe të depolitizuara në fushatë, kërcënime, incidente, thirrje për konflikt, etj), KQZ duhet të ketë një</w:t>
      </w:r>
      <w:r>
        <w:rPr>
          <w:spacing w:val="-6"/>
        </w:rPr>
        <w:t> </w:t>
      </w:r>
      <w:r>
        <w:rPr/>
        <w:t>sistem</w:t>
      </w:r>
      <w:r>
        <w:rPr>
          <w:spacing w:val="-4"/>
        </w:rPr>
        <w:t> </w:t>
      </w:r>
      <w:r>
        <w:rPr/>
        <w:t>të</w:t>
      </w:r>
      <w:r>
        <w:rPr>
          <w:spacing w:val="-6"/>
        </w:rPr>
        <w:t> </w:t>
      </w:r>
      <w:r>
        <w:rPr/>
        <w:t>shpejtë</w:t>
      </w:r>
      <w:r>
        <w:rPr>
          <w:spacing w:val="-6"/>
        </w:rPr>
        <w:t> </w:t>
      </w:r>
      <w:r>
        <w:rPr/>
        <w:t>reagimi</w:t>
      </w:r>
      <w:r>
        <w:rPr>
          <w:spacing w:val="-4"/>
        </w:rPr>
        <w:t> </w:t>
      </w:r>
      <w:r>
        <w:rPr/>
        <w:t>apo</w:t>
      </w:r>
      <w:r>
        <w:rPr>
          <w:spacing w:val="-5"/>
        </w:rPr>
        <w:t> </w:t>
      </w:r>
      <w:r>
        <w:rPr/>
        <w:t>referimi</w:t>
      </w:r>
      <w:r>
        <w:rPr>
          <w:spacing w:val="-4"/>
        </w:rPr>
        <w:t> </w:t>
      </w:r>
      <w:r>
        <w:rPr/>
        <w:t>pranë</w:t>
      </w:r>
      <w:r>
        <w:rPr>
          <w:spacing w:val="-3"/>
        </w:rPr>
        <w:t> </w:t>
      </w:r>
      <w:r>
        <w:rPr/>
        <w:t>institucioneve</w:t>
      </w:r>
      <w:r>
        <w:rPr>
          <w:spacing w:val="-6"/>
        </w:rPr>
        <w:t> </w:t>
      </w:r>
      <w:r>
        <w:rPr/>
        <w:t>përgjegjëse,</w:t>
      </w:r>
      <w:r>
        <w:rPr>
          <w:spacing w:val="-2"/>
        </w:rPr>
        <w:t> </w:t>
      </w:r>
      <w:r>
        <w:rPr/>
        <w:t>dhe</w:t>
      </w:r>
      <w:r>
        <w:rPr>
          <w:spacing w:val="-6"/>
        </w:rPr>
        <w:t> </w:t>
      </w:r>
      <w:r>
        <w:rPr/>
        <w:t>në</w:t>
      </w:r>
      <w:r>
        <w:rPr>
          <w:spacing w:val="-6"/>
        </w:rPr>
        <w:t> </w:t>
      </w:r>
      <w:r>
        <w:rPr/>
        <w:t>përputhje me kompetencat e saj të vendosë kur është rasti, sanksione ndaj subjekteve zgjedhore që shkelin Kodin Zgjedhor.</w:t>
      </w:r>
    </w:p>
    <w:p>
      <w:pPr>
        <w:pStyle w:val="BodyText"/>
        <w:spacing w:before="9"/>
        <w:rPr>
          <w:sz w:val="20"/>
        </w:rPr>
      </w:pPr>
    </w:p>
    <w:p>
      <w:pPr>
        <w:pStyle w:val="BodyText"/>
        <w:spacing w:before="1"/>
        <w:ind w:left="119" w:right="101" w:hanging="3"/>
        <w:jc w:val="both"/>
      </w:pPr>
      <w:bookmarkStart w:name="KQZ duhet të përfshijë në hetim të thell" w:id="32"/>
      <w:bookmarkEnd w:id="32"/>
      <w:r>
        <w:rPr/>
      </w:r>
      <w:r>
        <w:rPr/>
        <w:t>KQZ duhet të përfshijë në hetim të thelluar për standardet e dekriminalizimit të gjithë kandidatët e zgjedhjeve lokale, përfshirë edhe ata ndaj të cilëve ka denoncime nga shoqëria civile,</w:t>
      </w:r>
      <w:r>
        <w:rPr>
          <w:spacing w:val="-7"/>
        </w:rPr>
        <w:t> </w:t>
      </w:r>
      <w:r>
        <w:rPr/>
        <w:t>media,</w:t>
      </w:r>
      <w:r>
        <w:rPr>
          <w:spacing w:val="-5"/>
        </w:rPr>
        <w:t> </w:t>
      </w:r>
      <w:r>
        <w:rPr/>
        <w:t>aktorë</w:t>
      </w:r>
      <w:r>
        <w:rPr>
          <w:spacing w:val="-6"/>
        </w:rPr>
        <w:t> </w:t>
      </w:r>
      <w:r>
        <w:rPr/>
        <w:t>elektorale</w:t>
      </w:r>
      <w:r>
        <w:rPr>
          <w:spacing w:val="-8"/>
        </w:rPr>
        <w:t> </w:t>
      </w:r>
      <w:r>
        <w:rPr/>
        <w:t>dhe</w:t>
      </w:r>
      <w:r>
        <w:rPr>
          <w:spacing w:val="-8"/>
        </w:rPr>
        <w:t> </w:t>
      </w:r>
      <w:r>
        <w:rPr/>
        <w:t>publikë,</w:t>
      </w:r>
      <w:r>
        <w:rPr>
          <w:spacing w:val="-5"/>
        </w:rPr>
        <w:t> </w:t>
      </w:r>
      <w:r>
        <w:rPr/>
        <w:t>etj.</w:t>
      </w:r>
      <w:r>
        <w:rPr>
          <w:spacing w:val="-7"/>
        </w:rPr>
        <w:t> </w:t>
      </w:r>
      <w:r>
        <w:rPr/>
        <w:t>Procesi</w:t>
      </w:r>
      <w:r>
        <w:rPr>
          <w:spacing w:val="-7"/>
        </w:rPr>
        <w:t> </w:t>
      </w:r>
      <w:r>
        <w:rPr/>
        <w:t>i</w:t>
      </w:r>
      <w:r>
        <w:rPr>
          <w:spacing w:val="-7"/>
        </w:rPr>
        <w:t> </w:t>
      </w:r>
      <w:r>
        <w:rPr/>
        <w:t>verifikimit</w:t>
      </w:r>
      <w:r>
        <w:rPr>
          <w:spacing w:val="-7"/>
        </w:rPr>
        <w:t> </w:t>
      </w:r>
      <w:r>
        <w:rPr/>
        <w:t>të</w:t>
      </w:r>
      <w:r>
        <w:rPr>
          <w:spacing w:val="-8"/>
        </w:rPr>
        <w:t> </w:t>
      </w:r>
      <w:r>
        <w:rPr/>
        <w:t>dokumentacionit</w:t>
      </w:r>
      <w:r>
        <w:rPr>
          <w:spacing w:val="-7"/>
        </w:rPr>
        <w:t> </w:t>
      </w:r>
      <w:r>
        <w:rPr/>
        <w:t>dhe i ndërmarrjes së hetimit të thelluar duhet bërë në afatin sa më të shkurtër pas shpalljes së listave,</w:t>
      </w:r>
      <w:r>
        <w:rPr>
          <w:spacing w:val="-2"/>
        </w:rPr>
        <w:t> </w:t>
      </w:r>
      <w:r>
        <w:rPr/>
        <w:t>jo</w:t>
      </w:r>
      <w:r>
        <w:rPr>
          <w:spacing w:val="-2"/>
        </w:rPr>
        <w:t> </w:t>
      </w:r>
      <w:r>
        <w:rPr/>
        <w:t>pas</w:t>
      </w:r>
      <w:r>
        <w:rPr>
          <w:spacing w:val="-2"/>
        </w:rPr>
        <w:t> </w:t>
      </w:r>
      <w:r>
        <w:rPr/>
        <w:t>procesit</w:t>
      </w:r>
      <w:r>
        <w:rPr>
          <w:spacing w:val="-2"/>
        </w:rPr>
        <w:t> </w:t>
      </w:r>
      <w:r>
        <w:rPr/>
        <w:t>zgjedhor.</w:t>
      </w:r>
      <w:r>
        <w:rPr>
          <w:spacing w:val="-2"/>
        </w:rPr>
        <w:t> </w:t>
      </w:r>
      <w:r>
        <w:rPr/>
        <w:t>Për</w:t>
      </w:r>
      <w:r>
        <w:rPr>
          <w:spacing w:val="-3"/>
        </w:rPr>
        <w:t> </w:t>
      </w:r>
      <w:r>
        <w:rPr/>
        <w:t>zyrtarët</w:t>
      </w:r>
      <w:r>
        <w:rPr>
          <w:spacing w:val="-2"/>
        </w:rPr>
        <w:t> </w:t>
      </w:r>
      <w:r>
        <w:rPr/>
        <w:t>në</w:t>
      </w:r>
      <w:r>
        <w:rPr>
          <w:spacing w:val="-1"/>
        </w:rPr>
        <w:t> </w:t>
      </w:r>
      <w:r>
        <w:rPr/>
        <w:t>listën</w:t>
      </w:r>
      <w:r>
        <w:rPr>
          <w:spacing w:val="-2"/>
        </w:rPr>
        <w:t> </w:t>
      </w:r>
      <w:r>
        <w:rPr/>
        <w:t>e</w:t>
      </w:r>
      <w:r>
        <w:rPr>
          <w:spacing w:val="-3"/>
        </w:rPr>
        <w:t> </w:t>
      </w:r>
      <w:r>
        <w:rPr/>
        <w:t>sanksioneve</w:t>
      </w:r>
      <w:r>
        <w:rPr>
          <w:spacing w:val="-1"/>
        </w:rPr>
        <w:t> </w:t>
      </w:r>
      <w:r>
        <w:rPr/>
        <w:t>amerikane,</w:t>
      </w:r>
      <w:r>
        <w:rPr>
          <w:spacing w:val="-2"/>
        </w:rPr>
        <w:t> </w:t>
      </w:r>
      <w:r>
        <w:rPr/>
        <w:t>KQZ</w:t>
      </w:r>
      <w:r>
        <w:rPr>
          <w:spacing w:val="-5"/>
        </w:rPr>
        <w:t> </w:t>
      </w:r>
      <w:r>
        <w:rPr/>
        <w:t>mund të shpallë hetime për verifikime të thelluara nga prokuroria dhe organet tona të drejtësisë.</w:t>
      </w:r>
    </w:p>
    <w:p>
      <w:pPr>
        <w:pStyle w:val="BodyText"/>
        <w:spacing w:before="7"/>
        <w:rPr>
          <w:sz w:val="20"/>
        </w:rPr>
      </w:pPr>
    </w:p>
    <w:p>
      <w:pPr>
        <w:pStyle w:val="BodyText"/>
        <w:ind w:left="119" w:right="101" w:hanging="3"/>
        <w:jc w:val="both"/>
      </w:pPr>
      <w:bookmarkStart w:name="KQZ duhet të publikojë gjetjet e monitor" w:id="33"/>
      <w:bookmarkEnd w:id="33"/>
      <w:r>
        <w:rPr/>
      </w:r>
      <w:r>
        <w:rPr/>
        <w:t>KQZ</w:t>
      </w:r>
      <w:r>
        <w:rPr>
          <w:spacing w:val="-11"/>
        </w:rPr>
        <w:t> </w:t>
      </w:r>
      <w:r>
        <w:rPr/>
        <w:t>duhet</w:t>
      </w:r>
      <w:r>
        <w:rPr>
          <w:spacing w:val="-8"/>
        </w:rPr>
        <w:t> </w:t>
      </w:r>
      <w:r>
        <w:rPr/>
        <w:t>të</w:t>
      </w:r>
      <w:r>
        <w:rPr>
          <w:spacing w:val="-9"/>
        </w:rPr>
        <w:t> </w:t>
      </w:r>
      <w:r>
        <w:rPr/>
        <w:t>publikojë</w:t>
      </w:r>
      <w:r>
        <w:rPr>
          <w:spacing w:val="-9"/>
        </w:rPr>
        <w:t> </w:t>
      </w:r>
      <w:r>
        <w:rPr/>
        <w:t>gjetjet</w:t>
      </w:r>
      <w:r>
        <w:rPr>
          <w:spacing w:val="-8"/>
        </w:rPr>
        <w:t> </w:t>
      </w:r>
      <w:r>
        <w:rPr/>
        <w:t>e</w:t>
      </w:r>
      <w:r>
        <w:rPr>
          <w:spacing w:val="-9"/>
        </w:rPr>
        <w:t> </w:t>
      </w:r>
      <w:r>
        <w:rPr/>
        <w:t>monitorimit</w:t>
      </w:r>
      <w:r>
        <w:rPr>
          <w:spacing w:val="-8"/>
        </w:rPr>
        <w:t> </w:t>
      </w:r>
      <w:r>
        <w:rPr/>
        <w:t>të</w:t>
      </w:r>
      <w:r>
        <w:rPr>
          <w:spacing w:val="-9"/>
        </w:rPr>
        <w:t> </w:t>
      </w:r>
      <w:r>
        <w:rPr/>
        <w:t>rekordeve</w:t>
      </w:r>
      <w:r>
        <w:rPr>
          <w:spacing w:val="-9"/>
        </w:rPr>
        <w:t> </w:t>
      </w:r>
      <w:r>
        <w:rPr/>
        <w:t>të</w:t>
      </w:r>
      <w:r>
        <w:rPr>
          <w:spacing w:val="-9"/>
        </w:rPr>
        <w:t> </w:t>
      </w:r>
      <w:r>
        <w:rPr/>
        <w:t>komisionerëve</w:t>
      </w:r>
      <w:r>
        <w:rPr>
          <w:spacing w:val="-7"/>
        </w:rPr>
        <w:t> </w:t>
      </w:r>
      <w:r>
        <w:rPr/>
        <w:t>dhe</w:t>
      </w:r>
      <w:r>
        <w:rPr>
          <w:spacing w:val="-9"/>
        </w:rPr>
        <w:t> </w:t>
      </w:r>
      <w:r>
        <w:rPr/>
        <w:t>të</w:t>
      </w:r>
      <w:r>
        <w:rPr>
          <w:spacing w:val="-9"/>
        </w:rPr>
        <w:t> </w:t>
      </w:r>
      <w:r>
        <w:rPr/>
        <w:t>anëtarëve të grupeve të numërimit të propozuar nga partitë politike në mënyrë që të krijohet bindja se ata</w:t>
      </w:r>
      <w:r>
        <w:rPr>
          <w:spacing w:val="-5"/>
        </w:rPr>
        <w:t> </w:t>
      </w:r>
      <w:r>
        <w:rPr/>
        <w:t>nuk</w:t>
      </w:r>
      <w:r>
        <w:rPr>
          <w:spacing w:val="-4"/>
        </w:rPr>
        <w:t> </w:t>
      </w:r>
      <w:r>
        <w:rPr/>
        <w:t>janë</w:t>
      </w:r>
      <w:r>
        <w:rPr>
          <w:spacing w:val="-5"/>
        </w:rPr>
        <w:t> </w:t>
      </w:r>
      <w:r>
        <w:rPr/>
        <w:t>objekt</w:t>
      </w:r>
      <w:r>
        <w:rPr>
          <w:spacing w:val="-3"/>
        </w:rPr>
        <w:t> </w:t>
      </w:r>
      <w:r>
        <w:rPr/>
        <w:t>ndalimi</w:t>
      </w:r>
      <w:r>
        <w:rPr>
          <w:spacing w:val="-3"/>
        </w:rPr>
        <w:t> </w:t>
      </w:r>
      <w:r>
        <w:rPr/>
        <w:t>nga</w:t>
      </w:r>
      <w:r>
        <w:rPr>
          <w:spacing w:val="-2"/>
        </w:rPr>
        <w:t> </w:t>
      </w:r>
      <w:r>
        <w:rPr/>
        <w:t>dekriminalizimi,</w:t>
      </w:r>
      <w:r>
        <w:rPr>
          <w:spacing w:val="-6"/>
        </w:rPr>
        <w:t> </w:t>
      </w:r>
      <w:r>
        <w:rPr/>
        <w:t>nuk</w:t>
      </w:r>
      <w:r>
        <w:rPr>
          <w:spacing w:val="-4"/>
        </w:rPr>
        <w:t> </w:t>
      </w:r>
      <w:r>
        <w:rPr/>
        <w:t>janë</w:t>
      </w:r>
      <w:r>
        <w:rPr>
          <w:spacing w:val="-5"/>
        </w:rPr>
        <w:t> </w:t>
      </w:r>
      <w:r>
        <w:rPr/>
        <w:t>në</w:t>
      </w:r>
      <w:r>
        <w:rPr>
          <w:spacing w:val="-5"/>
        </w:rPr>
        <w:t> </w:t>
      </w:r>
      <w:r>
        <w:rPr/>
        <w:t>konflikt</w:t>
      </w:r>
      <w:r>
        <w:rPr>
          <w:spacing w:val="-3"/>
        </w:rPr>
        <w:t> </w:t>
      </w:r>
      <w:r>
        <w:rPr/>
        <w:t>interesi</w:t>
      </w:r>
      <w:r>
        <w:rPr>
          <w:spacing w:val="-3"/>
        </w:rPr>
        <w:t> </w:t>
      </w:r>
      <w:r>
        <w:rPr/>
        <w:t>me</w:t>
      </w:r>
      <w:r>
        <w:rPr>
          <w:spacing w:val="-5"/>
        </w:rPr>
        <w:t> </w:t>
      </w:r>
      <w:r>
        <w:rPr/>
        <w:t>punësimin e tyre, nuk janë të hetuar ose dënuar për vepra penale zgjedhore, etj.</w:t>
      </w:r>
    </w:p>
    <w:p>
      <w:pPr>
        <w:spacing w:after="0"/>
        <w:jc w:val="both"/>
        <w:sectPr>
          <w:pgSz w:w="11910" w:h="16850"/>
          <w:pgMar w:header="600" w:footer="0" w:top="2100" w:bottom="280" w:left="1500" w:right="1360"/>
        </w:sectPr>
      </w:pPr>
    </w:p>
    <w:p>
      <w:pPr>
        <w:pStyle w:val="BodyText"/>
        <w:ind w:left="119" w:right="102" w:hanging="3"/>
        <w:jc w:val="both"/>
      </w:pPr>
      <w:bookmarkStart w:name="I rekomandohet KQZ-së të nxjerrë një akt" w:id="34"/>
      <w:bookmarkEnd w:id="34"/>
      <w:r>
        <w:rPr/>
      </w:r>
      <w:r>
        <w:rPr/>
        <w:t>I</w:t>
      </w:r>
      <w:r>
        <w:rPr>
          <w:spacing w:val="-10"/>
        </w:rPr>
        <w:t> </w:t>
      </w:r>
      <w:r>
        <w:rPr/>
        <w:t>rekomandohet</w:t>
      </w:r>
      <w:r>
        <w:rPr>
          <w:spacing w:val="-15"/>
        </w:rPr>
        <w:t> </w:t>
      </w:r>
      <w:r>
        <w:rPr/>
        <w:t>KQZ-së të nxjerrë një akt nënligjor për të standardizuar dokumentacionin e partive politike që duhet dorëzuar në KQZ, (vendim i gjykatës, lista e kryesisë, lista e kryetareve</w:t>
      </w:r>
      <w:r>
        <w:rPr>
          <w:spacing w:val="-15"/>
        </w:rPr>
        <w:t> </w:t>
      </w:r>
      <w:r>
        <w:rPr/>
        <w:t>lokale,</w:t>
      </w:r>
      <w:r>
        <w:rPr>
          <w:spacing w:val="-15"/>
        </w:rPr>
        <w:t> </w:t>
      </w:r>
      <w:r>
        <w:rPr/>
        <w:t>vendimmarrja</w:t>
      </w:r>
      <w:r>
        <w:rPr>
          <w:spacing w:val="-15"/>
        </w:rPr>
        <w:t> </w:t>
      </w:r>
      <w:r>
        <w:rPr/>
        <w:t>e</w:t>
      </w:r>
      <w:r>
        <w:rPr>
          <w:spacing w:val="-15"/>
        </w:rPr>
        <w:t> </w:t>
      </w:r>
      <w:r>
        <w:rPr/>
        <w:t>organit</w:t>
      </w:r>
      <w:r>
        <w:rPr>
          <w:spacing w:val="-15"/>
        </w:rPr>
        <w:t> </w:t>
      </w:r>
      <w:r>
        <w:rPr/>
        <w:t>qe</w:t>
      </w:r>
      <w:r>
        <w:rPr>
          <w:spacing w:val="-15"/>
        </w:rPr>
        <w:t> </w:t>
      </w:r>
      <w:r>
        <w:rPr/>
        <w:t>ka</w:t>
      </w:r>
      <w:r>
        <w:rPr>
          <w:spacing w:val="-15"/>
        </w:rPr>
        <w:t> </w:t>
      </w:r>
      <w:r>
        <w:rPr/>
        <w:t>propozuar</w:t>
      </w:r>
      <w:r>
        <w:rPr>
          <w:spacing w:val="-15"/>
        </w:rPr>
        <w:t> </w:t>
      </w:r>
      <w:r>
        <w:rPr/>
        <w:t>kandidatet,</w:t>
      </w:r>
      <w:r>
        <w:rPr>
          <w:spacing w:val="-15"/>
        </w:rPr>
        <w:t> </w:t>
      </w:r>
      <w:r>
        <w:rPr/>
        <w:t>vendime</w:t>
      </w:r>
      <w:r>
        <w:rPr>
          <w:spacing w:val="-15"/>
        </w:rPr>
        <w:t> </w:t>
      </w:r>
      <w:r>
        <w:rPr/>
        <w:t>të</w:t>
      </w:r>
      <w:r>
        <w:rPr>
          <w:spacing w:val="-15"/>
        </w:rPr>
        <w:t> </w:t>
      </w:r>
      <w:r>
        <w:rPr/>
        <w:t>verifikimit të hershëm të kandidatëve (138/2015 dhe Autoriteti i Dosjeve). KQZ mund të theksojë me vendimmarrje detyrimin e subjekteve për të plotësuar një CV shumë më të detajuar dhe të saktë, sa i përket të dhënave personale të kandidatëve, sesa modeli aktual i përgjithshëm. KQZ</w:t>
      </w:r>
      <w:r>
        <w:rPr>
          <w:spacing w:val="-15"/>
        </w:rPr>
        <w:t> </w:t>
      </w:r>
      <w:r>
        <w:rPr/>
        <w:t>duhet</w:t>
      </w:r>
      <w:r>
        <w:rPr>
          <w:spacing w:val="-12"/>
        </w:rPr>
        <w:t> </w:t>
      </w:r>
      <w:r>
        <w:rPr/>
        <w:t>të</w:t>
      </w:r>
      <w:r>
        <w:rPr>
          <w:spacing w:val="-13"/>
        </w:rPr>
        <w:t> </w:t>
      </w:r>
      <w:r>
        <w:rPr/>
        <w:t>zgjerojë</w:t>
      </w:r>
      <w:r>
        <w:rPr>
          <w:spacing w:val="-13"/>
        </w:rPr>
        <w:t> </w:t>
      </w:r>
      <w:r>
        <w:rPr/>
        <w:t>dokumentacionin</w:t>
      </w:r>
      <w:r>
        <w:rPr>
          <w:spacing w:val="-12"/>
        </w:rPr>
        <w:t> </w:t>
      </w:r>
      <w:r>
        <w:rPr/>
        <w:t>e</w:t>
      </w:r>
      <w:r>
        <w:rPr>
          <w:spacing w:val="-13"/>
        </w:rPr>
        <w:t> </w:t>
      </w:r>
      <w:r>
        <w:rPr/>
        <w:t>kërkuar</w:t>
      </w:r>
      <w:r>
        <w:rPr>
          <w:spacing w:val="-10"/>
        </w:rPr>
        <w:t> </w:t>
      </w:r>
      <w:r>
        <w:rPr/>
        <w:t>per</w:t>
      </w:r>
      <w:r>
        <w:rPr>
          <w:spacing w:val="-13"/>
        </w:rPr>
        <w:t> </w:t>
      </w:r>
      <w:r>
        <w:rPr/>
        <w:t>një</w:t>
      </w:r>
      <w:r>
        <w:rPr>
          <w:spacing w:val="-13"/>
        </w:rPr>
        <w:t> </w:t>
      </w:r>
      <w:r>
        <w:rPr/>
        <w:t>subjekt</w:t>
      </w:r>
      <w:r>
        <w:rPr>
          <w:spacing w:val="-12"/>
        </w:rPr>
        <w:t> </w:t>
      </w:r>
      <w:r>
        <w:rPr/>
        <w:t>elektoral</w:t>
      </w:r>
      <w:r>
        <w:rPr>
          <w:spacing w:val="-12"/>
        </w:rPr>
        <w:t> </w:t>
      </w:r>
      <w:r>
        <w:rPr/>
        <w:t>për</w:t>
      </w:r>
      <w:r>
        <w:rPr>
          <w:spacing w:val="-13"/>
        </w:rPr>
        <w:t> </w:t>
      </w:r>
      <w:r>
        <w:rPr/>
        <w:t>t’u</w:t>
      </w:r>
      <w:r>
        <w:rPr>
          <w:spacing w:val="-12"/>
        </w:rPr>
        <w:t> </w:t>
      </w:r>
      <w:r>
        <w:rPr/>
        <w:t>regjistruar në zgjedhje, duke provuar me dokumentacionin e përshtatshëm se kanë adresë të saktë, të verifikueshme, kontratë zyre dhe anëtarë.</w:t>
      </w:r>
    </w:p>
    <w:p>
      <w:pPr>
        <w:pStyle w:val="BodyText"/>
        <w:spacing w:before="9"/>
        <w:rPr>
          <w:sz w:val="20"/>
        </w:rPr>
      </w:pPr>
    </w:p>
    <w:p>
      <w:pPr>
        <w:pStyle w:val="Heading1"/>
      </w:pPr>
      <w:bookmarkStart w:name="Mbështesim në mënyrë të veçantë rekomand" w:id="35"/>
      <w:bookmarkEnd w:id="35"/>
      <w:r>
        <w:rPr>
          <w:b w:val="0"/>
          <w:i w:val="0"/>
        </w:rPr>
      </w:r>
      <w:r>
        <w:rPr/>
        <w:t>Mbështesim në</w:t>
      </w:r>
      <w:r>
        <w:rPr>
          <w:spacing w:val="-1"/>
        </w:rPr>
        <w:t> </w:t>
      </w:r>
      <w:r>
        <w:rPr/>
        <w:t>mënyrë të veçantë rekomandimin e OSBE/ODIHR në raportin e fundit të monitorimit të zgjedhjeve në Shqipëri, që në mënyrë që të rritet përgjegjësia e partive politike dhe transparenca e përgjithshme e procesit zgjedhor, duhet të merret në konsideratë që t'u kërkohet garuesve të zbulojnë të ardhurat dhe shpenzimet e tyre të fushatës para ditës së zgjedhjeve.</w:t>
      </w:r>
    </w:p>
    <w:p>
      <w:pPr>
        <w:pStyle w:val="BodyText"/>
        <w:spacing w:before="10"/>
        <w:rPr>
          <w:b/>
          <w:i/>
          <w:sz w:val="20"/>
        </w:rPr>
      </w:pPr>
    </w:p>
    <w:p>
      <w:pPr>
        <w:pStyle w:val="BodyText"/>
        <w:ind w:left="119" w:right="104" w:hanging="3"/>
        <w:jc w:val="both"/>
      </w:pPr>
      <w:bookmarkStart w:name="Deklarimi i të ardhurave dhe shpenzimeve" w:id="36"/>
      <w:bookmarkEnd w:id="36"/>
      <w:r>
        <w:rPr/>
      </w:r>
      <w:r>
        <w:rPr/>
        <w:t>Deklarimi</w:t>
      </w:r>
      <w:r>
        <w:rPr>
          <w:spacing w:val="-15"/>
        </w:rPr>
        <w:t> </w:t>
      </w:r>
      <w:r>
        <w:rPr/>
        <w:t>i</w:t>
      </w:r>
      <w:r>
        <w:rPr>
          <w:spacing w:val="-15"/>
        </w:rPr>
        <w:t> </w:t>
      </w:r>
      <w:r>
        <w:rPr/>
        <w:t>të</w:t>
      </w:r>
      <w:r>
        <w:rPr>
          <w:spacing w:val="-15"/>
        </w:rPr>
        <w:t> </w:t>
      </w:r>
      <w:r>
        <w:rPr/>
        <w:t>ardhurave</w:t>
      </w:r>
      <w:r>
        <w:rPr>
          <w:spacing w:val="-15"/>
        </w:rPr>
        <w:t> </w:t>
      </w:r>
      <w:r>
        <w:rPr/>
        <w:t>dhe</w:t>
      </w:r>
      <w:r>
        <w:rPr>
          <w:spacing w:val="-15"/>
        </w:rPr>
        <w:t> </w:t>
      </w:r>
      <w:r>
        <w:rPr/>
        <w:t>shpenzimeve</w:t>
      </w:r>
      <w:r>
        <w:rPr>
          <w:spacing w:val="-15"/>
        </w:rPr>
        <w:t> </w:t>
      </w:r>
      <w:r>
        <w:rPr/>
        <w:t>të</w:t>
      </w:r>
      <w:r>
        <w:rPr>
          <w:spacing w:val="-15"/>
        </w:rPr>
        <w:t> </w:t>
      </w:r>
      <w:r>
        <w:rPr/>
        <w:t>realizueshme</w:t>
      </w:r>
      <w:r>
        <w:rPr>
          <w:spacing w:val="-15"/>
        </w:rPr>
        <w:t> </w:t>
      </w:r>
      <w:r>
        <w:rPr/>
        <w:t>jashtë</w:t>
      </w:r>
      <w:r>
        <w:rPr>
          <w:spacing w:val="-15"/>
        </w:rPr>
        <w:t> </w:t>
      </w:r>
      <w:r>
        <w:rPr/>
        <w:t>llogarisë</w:t>
      </w:r>
      <w:r>
        <w:rPr>
          <w:spacing w:val="-15"/>
        </w:rPr>
        <w:t> </w:t>
      </w:r>
      <w:r>
        <w:rPr/>
        <w:t>zyrtare</w:t>
      </w:r>
      <w:r>
        <w:rPr>
          <w:spacing w:val="-15"/>
        </w:rPr>
        <w:t> </w:t>
      </w:r>
      <w:r>
        <w:rPr/>
        <w:t>të</w:t>
      </w:r>
      <w:r>
        <w:rPr>
          <w:spacing w:val="-15"/>
        </w:rPr>
        <w:t> </w:t>
      </w:r>
      <w:r>
        <w:rPr/>
        <w:t>subjektit zgjedhor, nga fondacionet politike, media partiake, organizatat partnere, etj, të krijuara nga vetë subjekti zgjedhor, nuk duhet të mbetet jashtë mbikqyrjes e kontrollit nga KQZ.</w:t>
      </w:r>
    </w:p>
    <w:p>
      <w:pPr>
        <w:pStyle w:val="BodyText"/>
        <w:spacing w:before="10"/>
        <w:rPr>
          <w:sz w:val="20"/>
        </w:rPr>
      </w:pPr>
    </w:p>
    <w:p>
      <w:pPr>
        <w:pStyle w:val="BodyText"/>
        <w:ind w:left="119" w:right="103" w:hanging="3"/>
        <w:jc w:val="both"/>
      </w:pPr>
      <w:bookmarkStart w:name="Për të garantuar aksesin e barabartë dhe" w:id="37"/>
      <w:bookmarkEnd w:id="37"/>
      <w:r>
        <w:rPr/>
      </w:r>
      <w:r>
        <w:rPr/>
        <w:t>Për</w:t>
      </w:r>
      <w:r>
        <w:rPr>
          <w:spacing w:val="-7"/>
        </w:rPr>
        <w:t> </w:t>
      </w:r>
      <w:r>
        <w:rPr/>
        <w:t>të</w:t>
      </w:r>
      <w:r>
        <w:rPr>
          <w:spacing w:val="-7"/>
        </w:rPr>
        <w:t> </w:t>
      </w:r>
      <w:r>
        <w:rPr/>
        <w:t>garantuar</w:t>
      </w:r>
      <w:r>
        <w:rPr>
          <w:spacing w:val="-7"/>
        </w:rPr>
        <w:t> </w:t>
      </w:r>
      <w:r>
        <w:rPr/>
        <w:t>aksesin</w:t>
      </w:r>
      <w:r>
        <w:rPr>
          <w:spacing w:val="-6"/>
        </w:rPr>
        <w:t> </w:t>
      </w:r>
      <w:r>
        <w:rPr/>
        <w:t>e</w:t>
      </w:r>
      <w:r>
        <w:rPr>
          <w:spacing w:val="-4"/>
        </w:rPr>
        <w:t> </w:t>
      </w:r>
      <w:r>
        <w:rPr/>
        <w:t>barabartë</w:t>
      </w:r>
      <w:r>
        <w:rPr>
          <w:spacing w:val="-7"/>
        </w:rPr>
        <w:t> </w:t>
      </w:r>
      <w:r>
        <w:rPr/>
        <w:t>dhe</w:t>
      </w:r>
      <w:r>
        <w:rPr>
          <w:spacing w:val="-7"/>
        </w:rPr>
        <w:t> </w:t>
      </w:r>
      <w:r>
        <w:rPr/>
        <w:t>vlerësimin</w:t>
      </w:r>
      <w:r>
        <w:rPr>
          <w:spacing w:val="-6"/>
        </w:rPr>
        <w:t> </w:t>
      </w:r>
      <w:r>
        <w:rPr/>
        <w:t>përkatës,</w:t>
      </w:r>
      <w:r>
        <w:rPr>
          <w:spacing w:val="-6"/>
        </w:rPr>
        <w:t> </w:t>
      </w:r>
      <w:r>
        <w:rPr/>
        <w:t>rekomandohet</w:t>
      </w:r>
      <w:r>
        <w:rPr>
          <w:spacing w:val="-3"/>
        </w:rPr>
        <w:t> </w:t>
      </w:r>
      <w:r>
        <w:rPr/>
        <w:t>përmbledhja</w:t>
      </w:r>
      <w:r>
        <w:rPr>
          <w:spacing w:val="-7"/>
        </w:rPr>
        <w:t> </w:t>
      </w:r>
      <w:r>
        <w:rPr/>
        <w:t>i</w:t>
      </w:r>
      <w:r>
        <w:rPr>
          <w:spacing w:val="-5"/>
        </w:rPr>
        <w:t> </w:t>
      </w:r>
      <w:r>
        <w:rPr/>
        <w:t>të dhënave të ndara sipas gjinisë për shpërndarjen e financave dhe raporteve financiare nga partitë politike.</w:t>
      </w:r>
    </w:p>
    <w:p>
      <w:pPr>
        <w:pStyle w:val="BodyText"/>
        <w:spacing w:before="10"/>
        <w:rPr>
          <w:sz w:val="20"/>
        </w:rPr>
      </w:pPr>
    </w:p>
    <w:p>
      <w:pPr>
        <w:pStyle w:val="BodyText"/>
        <w:ind w:left="119" w:right="103" w:hanging="3"/>
        <w:jc w:val="both"/>
      </w:pPr>
      <w:bookmarkStart w:name="KQZ duhet të monitorojë edhe emisionet s" w:id="38"/>
      <w:bookmarkEnd w:id="38"/>
      <w:r>
        <w:rPr/>
      </w:r>
      <w:r>
        <w:rPr/>
        <w:t>KQZ</w:t>
      </w:r>
      <w:r>
        <w:rPr>
          <w:spacing w:val="-11"/>
        </w:rPr>
        <w:t> </w:t>
      </w:r>
      <w:r>
        <w:rPr/>
        <w:t>duhet</w:t>
      </w:r>
      <w:r>
        <w:rPr>
          <w:spacing w:val="-8"/>
        </w:rPr>
        <w:t> </w:t>
      </w:r>
      <w:r>
        <w:rPr/>
        <w:t>të</w:t>
      </w:r>
      <w:r>
        <w:rPr>
          <w:spacing w:val="-9"/>
        </w:rPr>
        <w:t> </w:t>
      </w:r>
      <w:r>
        <w:rPr/>
        <w:t>monitorojë</w:t>
      </w:r>
      <w:r>
        <w:rPr>
          <w:spacing w:val="-9"/>
        </w:rPr>
        <w:t> </w:t>
      </w:r>
      <w:r>
        <w:rPr/>
        <w:t>edhe</w:t>
      </w:r>
      <w:r>
        <w:rPr>
          <w:spacing w:val="-9"/>
        </w:rPr>
        <w:t> </w:t>
      </w:r>
      <w:r>
        <w:rPr/>
        <w:t>emisionet</w:t>
      </w:r>
      <w:r>
        <w:rPr>
          <w:spacing w:val="-8"/>
        </w:rPr>
        <w:t> </w:t>
      </w:r>
      <w:r>
        <w:rPr/>
        <w:t>speciale</w:t>
      </w:r>
      <w:r>
        <w:rPr>
          <w:spacing w:val="-9"/>
        </w:rPr>
        <w:t> </w:t>
      </w:r>
      <w:r>
        <w:rPr/>
        <w:t>televizive</w:t>
      </w:r>
      <w:r>
        <w:rPr>
          <w:spacing w:val="-9"/>
        </w:rPr>
        <w:t> </w:t>
      </w:r>
      <w:r>
        <w:rPr/>
        <w:t>dhe</w:t>
      </w:r>
      <w:r>
        <w:rPr>
          <w:spacing w:val="-9"/>
        </w:rPr>
        <w:t> </w:t>
      </w:r>
      <w:r>
        <w:rPr/>
        <w:t>mediatike</w:t>
      </w:r>
      <w:r>
        <w:rPr>
          <w:spacing w:val="-9"/>
        </w:rPr>
        <w:t> </w:t>
      </w:r>
      <w:r>
        <w:rPr/>
        <w:t>të</w:t>
      </w:r>
      <w:r>
        <w:rPr>
          <w:spacing w:val="-9"/>
        </w:rPr>
        <w:t> </w:t>
      </w:r>
      <w:r>
        <w:rPr/>
        <w:t>financuara</w:t>
      </w:r>
      <w:r>
        <w:rPr>
          <w:spacing w:val="-9"/>
        </w:rPr>
        <w:t> </w:t>
      </w:r>
      <w:r>
        <w:rPr/>
        <w:t>dhe të</w:t>
      </w:r>
      <w:r>
        <w:rPr>
          <w:spacing w:val="-8"/>
        </w:rPr>
        <w:t> </w:t>
      </w:r>
      <w:r>
        <w:rPr/>
        <w:t>dedikuara</w:t>
      </w:r>
      <w:r>
        <w:rPr>
          <w:spacing w:val="-8"/>
        </w:rPr>
        <w:t> </w:t>
      </w:r>
      <w:r>
        <w:rPr/>
        <w:t>për</w:t>
      </w:r>
      <w:r>
        <w:rPr>
          <w:spacing w:val="-8"/>
        </w:rPr>
        <w:t> </w:t>
      </w:r>
      <w:r>
        <w:rPr/>
        <w:t>kandidatët</w:t>
      </w:r>
      <w:r>
        <w:rPr>
          <w:spacing w:val="-7"/>
        </w:rPr>
        <w:t> </w:t>
      </w:r>
      <w:r>
        <w:rPr/>
        <w:t>dhe</w:t>
      </w:r>
      <w:r>
        <w:rPr>
          <w:spacing w:val="-8"/>
        </w:rPr>
        <w:t> </w:t>
      </w:r>
      <w:r>
        <w:rPr/>
        <w:t>partitë,</w:t>
      </w:r>
      <w:r>
        <w:rPr>
          <w:spacing w:val="-7"/>
        </w:rPr>
        <w:t> </w:t>
      </w:r>
      <w:r>
        <w:rPr/>
        <w:t>jashtë</w:t>
      </w:r>
      <w:r>
        <w:rPr>
          <w:spacing w:val="-6"/>
        </w:rPr>
        <w:t> </w:t>
      </w:r>
      <w:r>
        <w:rPr/>
        <w:t>edicionit</w:t>
      </w:r>
      <w:r>
        <w:rPr>
          <w:spacing w:val="-7"/>
        </w:rPr>
        <w:t> </w:t>
      </w:r>
      <w:r>
        <w:rPr/>
        <w:t>të</w:t>
      </w:r>
      <w:r>
        <w:rPr>
          <w:spacing w:val="-8"/>
        </w:rPr>
        <w:t> </w:t>
      </w:r>
      <w:r>
        <w:rPr/>
        <w:t>lajmeve,</w:t>
      </w:r>
      <w:r>
        <w:rPr>
          <w:spacing w:val="-7"/>
        </w:rPr>
        <w:t> </w:t>
      </w:r>
      <w:r>
        <w:rPr/>
        <w:t>duke</w:t>
      </w:r>
      <w:r>
        <w:rPr>
          <w:spacing w:val="-6"/>
        </w:rPr>
        <w:t> </w:t>
      </w:r>
      <w:r>
        <w:rPr/>
        <w:t>i</w:t>
      </w:r>
      <w:r>
        <w:rPr>
          <w:spacing w:val="-7"/>
        </w:rPr>
        <w:t> </w:t>
      </w:r>
      <w:r>
        <w:rPr/>
        <w:t>trajtuar</w:t>
      </w:r>
      <w:r>
        <w:rPr>
          <w:spacing w:val="-8"/>
        </w:rPr>
        <w:t> </w:t>
      </w:r>
      <w:r>
        <w:rPr/>
        <w:t>ato</w:t>
      </w:r>
      <w:r>
        <w:rPr>
          <w:spacing w:val="-7"/>
        </w:rPr>
        <w:t> </w:t>
      </w:r>
      <w:r>
        <w:rPr/>
        <w:t>si</w:t>
      </w:r>
      <w:r>
        <w:rPr>
          <w:spacing w:val="-7"/>
        </w:rPr>
        <w:t> </w:t>
      </w:r>
      <w:r>
        <w:rPr/>
        <w:t>kohë televizive dhe reklamë për kandidatët. Rekomandohet krijimi i udhëzimeve për partitë politike për të garantuar akses të barabartë të kandidatëve burra dhe gra në kohën e transmetimit falas në media gjatë fushatave zgjedhore, sipas nenit 80 të Ligjit Zgjedhor.</w:t>
      </w:r>
    </w:p>
    <w:p>
      <w:pPr>
        <w:pStyle w:val="BodyText"/>
        <w:spacing w:before="10"/>
        <w:rPr>
          <w:sz w:val="20"/>
        </w:rPr>
      </w:pPr>
    </w:p>
    <w:p>
      <w:pPr>
        <w:pStyle w:val="BodyText"/>
        <w:spacing w:before="1"/>
        <w:ind w:left="119" w:right="103" w:hanging="3"/>
        <w:jc w:val="both"/>
      </w:pPr>
      <w:bookmarkStart w:name="Trendi i votave të pavlefshme të konstat" w:id="39"/>
      <w:bookmarkEnd w:id="39"/>
      <w:r>
        <w:rPr/>
      </w:r>
      <w:r>
        <w:rPr/>
        <w:t>Trendi i votave të pavlefshme të konstatuara në proceset zgjedhore ka qenë i luhatshëm. Duhen forcuar kapacitetet e KQZ-së për të shtrirë urat e komunikimit, duke orientuar dhe ndërgjegjësuar zgjedhësit për mënyrën e votimit, duke parashikuar një shtrirje edhe drejt zonave rurale të vendit, zgjedhësit e të cilave kanë aksesueshmëri të kufizuar në mjete teknologjike dhe audio-vizuale.</w:t>
      </w:r>
    </w:p>
    <w:p>
      <w:pPr>
        <w:pStyle w:val="BodyText"/>
        <w:spacing w:before="9"/>
        <w:rPr>
          <w:sz w:val="20"/>
        </w:rPr>
      </w:pPr>
    </w:p>
    <w:p>
      <w:pPr>
        <w:pStyle w:val="BodyText"/>
        <w:spacing w:before="1"/>
        <w:ind w:left="119" w:right="105" w:hanging="3"/>
        <w:jc w:val="both"/>
      </w:pPr>
      <w:bookmarkStart w:name="Thelbësor mbetet informimi në kohë dhe i" w:id="40"/>
      <w:bookmarkEnd w:id="40"/>
      <w:r>
        <w:rPr/>
      </w:r>
      <w:r>
        <w:rPr/>
        <w:t>Thelbësor</w:t>
      </w:r>
      <w:r>
        <w:rPr>
          <w:spacing w:val="-15"/>
        </w:rPr>
        <w:t> </w:t>
      </w:r>
      <w:r>
        <w:rPr/>
        <w:t>mbetet</w:t>
      </w:r>
      <w:r>
        <w:rPr>
          <w:spacing w:val="-14"/>
        </w:rPr>
        <w:t> </w:t>
      </w:r>
      <w:r>
        <w:rPr/>
        <w:t>informimi</w:t>
      </w:r>
      <w:r>
        <w:rPr>
          <w:spacing w:val="-14"/>
        </w:rPr>
        <w:t> </w:t>
      </w:r>
      <w:r>
        <w:rPr/>
        <w:t>në</w:t>
      </w:r>
      <w:r>
        <w:rPr>
          <w:spacing w:val="-15"/>
        </w:rPr>
        <w:t> </w:t>
      </w:r>
      <w:r>
        <w:rPr/>
        <w:t>kohë</w:t>
      </w:r>
      <w:r>
        <w:rPr>
          <w:spacing w:val="-15"/>
        </w:rPr>
        <w:t> </w:t>
      </w:r>
      <w:r>
        <w:rPr/>
        <w:t>dhe</w:t>
      </w:r>
      <w:r>
        <w:rPr>
          <w:spacing w:val="-13"/>
        </w:rPr>
        <w:t> </w:t>
      </w:r>
      <w:r>
        <w:rPr/>
        <w:t>i</w:t>
      </w:r>
      <w:r>
        <w:rPr>
          <w:spacing w:val="-14"/>
        </w:rPr>
        <w:t> </w:t>
      </w:r>
      <w:r>
        <w:rPr/>
        <w:t>qartë</w:t>
      </w:r>
      <w:r>
        <w:rPr>
          <w:spacing w:val="-13"/>
        </w:rPr>
        <w:t> </w:t>
      </w:r>
      <w:r>
        <w:rPr/>
        <w:t>i</w:t>
      </w:r>
      <w:r>
        <w:rPr>
          <w:spacing w:val="-14"/>
        </w:rPr>
        <w:t> </w:t>
      </w:r>
      <w:r>
        <w:rPr/>
        <w:t>zyrtarëve</w:t>
      </w:r>
      <w:r>
        <w:rPr>
          <w:spacing w:val="-15"/>
        </w:rPr>
        <w:t> </w:t>
      </w:r>
      <w:r>
        <w:rPr/>
        <w:t>subjekt</w:t>
      </w:r>
      <w:r>
        <w:rPr>
          <w:spacing w:val="-14"/>
        </w:rPr>
        <w:t> </w:t>
      </w:r>
      <w:r>
        <w:rPr/>
        <w:t>i</w:t>
      </w:r>
      <w:r>
        <w:rPr>
          <w:spacing w:val="-14"/>
        </w:rPr>
        <w:t> </w:t>
      </w:r>
      <w:r>
        <w:rPr/>
        <w:t>kufizimeve</w:t>
      </w:r>
      <w:r>
        <w:rPr>
          <w:spacing w:val="-15"/>
        </w:rPr>
        <w:t> </w:t>
      </w:r>
      <w:r>
        <w:rPr/>
        <w:t>të</w:t>
      </w:r>
      <w:r>
        <w:rPr>
          <w:spacing w:val="-15"/>
        </w:rPr>
        <w:t> </w:t>
      </w:r>
      <w:r>
        <w:rPr/>
        <w:t>ndalimeve që</w:t>
      </w:r>
      <w:r>
        <w:rPr>
          <w:spacing w:val="-14"/>
        </w:rPr>
        <w:t> </w:t>
      </w:r>
      <w:r>
        <w:rPr/>
        <w:t>parashikon</w:t>
      </w:r>
      <w:r>
        <w:rPr>
          <w:spacing w:val="-13"/>
        </w:rPr>
        <w:t> </w:t>
      </w:r>
      <w:r>
        <w:rPr/>
        <w:t>Kodi</w:t>
      </w:r>
      <w:r>
        <w:rPr>
          <w:spacing w:val="-13"/>
        </w:rPr>
        <w:t> </w:t>
      </w:r>
      <w:r>
        <w:rPr/>
        <w:t>Zgjedhor,</w:t>
      </w:r>
      <w:r>
        <w:rPr>
          <w:spacing w:val="-13"/>
        </w:rPr>
        <w:t> </w:t>
      </w:r>
      <w:r>
        <w:rPr/>
        <w:t>si</w:t>
      </w:r>
      <w:r>
        <w:rPr>
          <w:spacing w:val="-13"/>
        </w:rPr>
        <w:t> </w:t>
      </w:r>
      <w:r>
        <w:rPr/>
        <w:t>dhe</w:t>
      </w:r>
      <w:r>
        <w:rPr>
          <w:spacing w:val="-14"/>
        </w:rPr>
        <w:t> </w:t>
      </w:r>
      <w:r>
        <w:rPr/>
        <w:t>i</w:t>
      </w:r>
      <w:r>
        <w:rPr>
          <w:spacing w:val="-13"/>
        </w:rPr>
        <w:t> </w:t>
      </w:r>
      <w:r>
        <w:rPr/>
        <w:t>publikut.</w:t>
      </w:r>
      <w:r>
        <w:rPr>
          <w:spacing w:val="-13"/>
        </w:rPr>
        <w:t> </w:t>
      </w:r>
      <w:r>
        <w:rPr/>
        <w:t>Ky</w:t>
      </w:r>
      <w:r>
        <w:rPr>
          <w:spacing w:val="-15"/>
        </w:rPr>
        <w:t> </w:t>
      </w:r>
      <w:r>
        <w:rPr/>
        <w:t>proces</w:t>
      </w:r>
      <w:r>
        <w:rPr>
          <w:spacing w:val="-13"/>
        </w:rPr>
        <w:t> </w:t>
      </w:r>
      <w:r>
        <w:rPr/>
        <w:t>mbetet</w:t>
      </w:r>
      <w:r>
        <w:rPr>
          <w:spacing w:val="-13"/>
        </w:rPr>
        <w:t> </w:t>
      </w:r>
      <w:r>
        <w:rPr/>
        <w:t>i</w:t>
      </w:r>
      <w:r>
        <w:rPr>
          <w:spacing w:val="-13"/>
        </w:rPr>
        <w:t> </w:t>
      </w:r>
      <w:r>
        <w:rPr/>
        <w:t>nevojshëm</w:t>
      </w:r>
      <w:r>
        <w:rPr>
          <w:spacing w:val="-13"/>
        </w:rPr>
        <w:t> </w:t>
      </w:r>
      <w:r>
        <w:rPr/>
        <w:t>për</w:t>
      </w:r>
      <w:r>
        <w:rPr>
          <w:spacing w:val="-14"/>
        </w:rPr>
        <w:t> </w:t>
      </w:r>
      <w:r>
        <w:rPr/>
        <w:t>të</w:t>
      </w:r>
      <w:r>
        <w:rPr>
          <w:spacing w:val="-14"/>
        </w:rPr>
        <w:t> </w:t>
      </w:r>
      <w:r>
        <w:rPr/>
        <w:t>siguruar ndërgjegjësimin si dhe besimin e duhur të subjekteve zgjedhore dhe qytetarëve për të bashkëpunuar në denoncimin e rasteve të abuzimit.</w:t>
      </w:r>
    </w:p>
    <w:p>
      <w:pPr>
        <w:pStyle w:val="BodyText"/>
        <w:spacing w:before="7"/>
        <w:rPr>
          <w:sz w:val="20"/>
        </w:rPr>
      </w:pPr>
    </w:p>
    <w:p>
      <w:pPr>
        <w:pStyle w:val="BodyText"/>
        <w:ind w:left="119" w:right="103" w:hanging="3"/>
        <w:jc w:val="both"/>
      </w:pPr>
      <w:bookmarkStart w:name="I rekomandohet KQZ-së të monitorojë proa" w:id="41"/>
      <w:bookmarkEnd w:id="41"/>
      <w:r>
        <w:rPr/>
      </w:r>
      <w:r>
        <w:rPr/>
        <w:t>I rekomandohet KQZ-së të monitorojë proaktivisht cilësinë e trajnimeve të realizuara me komisionerët e organeve të administrimit zgjedhor (KZAZ, KQZ, GNV), përfshirjen dhe interesin e shprehur nga ana e përfaqësuesve të emëruar të administratës zgjedhore për të qenë komisioner, si dhe mirë planifikimin e këtyre trajnimeve në kohë.</w:t>
      </w:r>
    </w:p>
    <w:p>
      <w:pPr>
        <w:pStyle w:val="BodyText"/>
        <w:spacing w:before="10"/>
        <w:rPr>
          <w:sz w:val="20"/>
        </w:rPr>
      </w:pPr>
    </w:p>
    <w:p>
      <w:pPr>
        <w:pStyle w:val="BodyText"/>
        <w:ind w:left="119" w:right="105" w:hanging="3"/>
        <w:jc w:val="both"/>
      </w:pPr>
      <w:bookmarkStart w:name="Gjithashtu, duke marrë shkas nga përdori" w:id="42"/>
      <w:bookmarkEnd w:id="42"/>
      <w:r>
        <w:rPr/>
      </w:r>
      <w:r>
        <w:rPr/>
        <w:t>Gjithashtu,</w:t>
      </w:r>
      <w:r>
        <w:rPr>
          <w:spacing w:val="-5"/>
        </w:rPr>
        <w:t> </w:t>
      </w:r>
      <w:r>
        <w:rPr/>
        <w:t>duke</w:t>
      </w:r>
      <w:r>
        <w:rPr>
          <w:spacing w:val="-6"/>
        </w:rPr>
        <w:t> </w:t>
      </w:r>
      <w:r>
        <w:rPr/>
        <w:t>marrë</w:t>
      </w:r>
      <w:r>
        <w:rPr>
          <w:spacing w:val="-6"/>
        </w:rPr>
        <w:t> </w:t>
      </w:r>
      <w:r>
        <w:rPr/>
        <w:t>shkas</w:t>
      </w:r>
      <w:r>
        <w:rPr>
          <w:spacing w:val="-5"/>
        </w:rPr>
        <w:t> </w:t>
      </w:r>
      <w:r>
        <w:rPr/>
        <w:t>nga</w:t>
      </w:r>
      <w:r>
        <w:rPr>
          <w:spacing w:val="-6"/>
        </w:rPr>
        <w:t> </w:t>
      </w:r>
      <w:r>
        <w:rPr/>
        <w:t>përdorimi</w:t>
      </w:r>
      <w:r>
        <w:rPr>
          <w:spacing w:val="-4"/>
        </w:rPr>
        <w:t> </w:t>
      </w:r>
      <w:r>
        <w:rPr/>
        <w:t>i</w:t>
      </w:r>
      <w:r>
        <w:rPr>
          <w:spacing w:val="-4"/>
        </w:rPr>
        <w:t> </w:t>
      </w:r>
      <w:r>
        <w:rPr/>
        <w:t>telefonave</w:t>
      </w:r>
      <w:r>
        <w:rPr>
          <w:spacing w:val="-3"/>
        </w:rPr>
        <w:t> </w:t>
      </w:r>
      <w:r>
        <w:rPr/>
        <w:t>celularë</w:t>
      </w:r>
      <w:r>
        <w:rPr>
          <w:spacing w:val="-6"/>
        </w:rPr>
        <w:t> </w:t>
      </w:r>
      <w:r>
        <w:rPr/>
        <w:t>nga</w:t>
      </w:r>
      <w:r>
        <w:rPr>
          <w:spacing w:val="-6"/>
        </w:rPr>
        <w:t> </w:t>
      </w:r>
      <w:r>
        <w:rPr/>
        <w:t>zgjedhësit,</w:t>
      </w:r>
      <w:r>
        <w:rPr>
          <w:spacing w:val="-5"/>
        </w:rPr>
        <w:t> </w:t>
      </w:r>
      <w:r>
        <w:rPr/>
        <w:t>sugjerojmë interpretimin</w:t>
      </w:r>
      <w:r>
        <w:rPr>
          <w:spacing w:val="-6"/>
        </w:rPr>
        <w:t> </w:t>
      </w:r>
      <w:r>
        <w:rPr/>
        <w:t>e</w:t>
      </w:r>
      <w:r>
        <w:rPr>
          <w:spacing w:val="-6"/>
        </w:rPr>
        <w:t> </w:t>
      </w:r>
      <w:r>
        <w:rPr/>
        <w:t>zgjeruar</w:t>
      </w:r>
      <w:r>
        <w:rPr>
          <w:spacing w:val="-6"/>
        </w:rPr>
        <w:t> </w:t>
      </w:r>
      <w:r>
        <w:rPr/>
        <w:t>nga</w:t>
      </w:r>
      <w:r>
        <w:rPr>
          <w:spacing w:val="-3"/>
        </w:rPr>
        <w:t> </w:t>
      </w:r>
      <w:r>
        <w:rPr/>
        <w:t>ana</w:t>
      </w:r>
      <w:r>
        <w:rPr>
          <w:spacing w:val="-4"/>
        </w:rPr>
        <w:t> </w:t>
      </w:r>
      <w:r>
        <w:rPr/>
        <w:t>e</w:t>
      </w:r>
      <w:r>
        <w:rPr>
          <w:spacing w:val="-6"/>
        </w:rPr>
        <w:t> </w:t>
      </w:r>
      <w:r>
        <w:rPr/>
        <w:t>organeve</w:t>
      </w:r>
      <w:r>
        <w:rPr>
          <w:spacing w:val="-6"/>
        </w:rPr>
        <w:t> </w:t>
      </w:r>
      <w:r>
        <w:rPr/>
        <w:t>përgjegjëse</w:t>
      </w:r>
      <w:r>
        <w:rPr>
          <w:spacing w:val="-6"/>
        </w:rPr>
        <w:t> </w:t>
      </w:r>
      <w:r>
        <w:rPr/>
        <w:t>të</w:t>
      </w:r>
      <w:r>
        <w:rPr>
          <w:spacing w:val="-6"/>
        </w:rPr>
        <w:t> </w:t>
      </w:r>
      <w:r>
        <w:rPr/>
        <w:t>administratës</w:t>
      </w:r>
      <w:r>
        <w:rPr>
          <w:spacing w:val="-6"/>
        </w:rPr>
        <w:t> </w:t>
      </w:r>
      <w:r>
        <w:rPr/>
        <w:t>zgjedhore</w:t>
      </w:r>
      <w:r>
        <w:rPr>
          <w:spacing w:val="-6"/>
        </w:rPr>
        <w:t> </w:t>
      </w:r>
      <w:r>
        <w:rPr/>
        <w:t>dhe</w:t>
      </w:r>
      <w:r>
        <w:rPr>
          <w:spacing w:val="-3"/>
        </w:rPr>
        <w:t> </w:t>
      </w:r>
      <w:r>
        <w:rPr>
          <w:spacing w:val="-2"/>
        </w:rPr>
        <w:t>atyre</w:t>
      </w:r>
    </w:p>
    <w:p>
      <w:pPr>
        <w:spacing w:after="0"/>
        <w:jc w:val="both"/>
        <w:sectPr>
          <w:pgSz w:w="11910" w:h="16850"/>
          <w:pgMar w:header="600" w:footer="0" w:top="2100" w:bottom="280" w:left="1500" w:right="1360"/>
        </w:sectPr>
      </w:pPr>
    </w:p>
    <w:p>
      <w:pPr>
        <w:pStyle w:val="BodyText"/>
        <w:ind w:left="120" w:right="101"/>
        <w:jc w:val="both"/>
      </w:pPr>
      <w:r>
        <w:rPr/>
        <w:t>hetimore, për interpretimin e zgjeruar të nenit 109 pika 2 të Kodit Zgjedhor për ndalimin e </w:t>
      </w:r>
      <w:r>
        <w:rPr>
          <w:spacing w:val="-2"/>
        </w:rPr>
        <w:t>mbajtjes</w:t>
      </w:r>
      <w:r>
        <w:rPr>
          <w:spacing w:val="-8"/>
        </w:rPr>
        <w:t> </w:t>
      </w:r>
      <w:r>
        <w:rPr>
          <w:spacing w:val="-2"/>
        </w:rPr>
        <w:t>së</w:t>
      </w:r>
      <w:r>
        <w:rPr>
          <w:spacing w:val="-9"/>
        </w:rPr>
        <w:t> </w:t>
      </w:r>
      <w:r>
        <w:rPr>
          <w:spacing w:val="-2"/>
        </w:rPr>
        <w:t>telefonit</w:t>
      </w:r>
      <w:r>
        <w:rPr>
          <w:spacing w:val="-6"/>
        </w:rPr>
        <w:t> </w:t>
      </w:r>
      <w:r>
        <w:rPr>
          <w:spacing w:val="-2"/>
        </w:rPr>
        <w:t>ose</w:t>
      </w:r>
      <w:r>
        <w:rPr>
          <w:spacing w:val="-9"/>
        </w:rPr>
        <w:t> </w:t>
      </w:r>
      <w:r>
        <w:rPr>
          <w:spacing w:val="-2"/>
        </w:rPr>
        <w:t>çdo</w:t>
      </w:r>
      <w:r>
        <w:rPr>
          <w:spacing w:val="-8"/>
        </w:rPr>
        <w:t> </w:t>
      </w:r>
      <w:r>
        <w:rPr>
          <w:spacing w:val="-2"/>
        </w:rPr>
        <w:t>pajisjeje</w:t>
      </w:r>
      <w:r>
        <w:rPr>
          <w:spacing w:val="-9"/>
        </w:rPr>
        <w:t> </w:t>
      </w:r>
      <w:r>
        <w:rPr>
          <w:spacing w:val="-2"/>
        </w:rPr>
        <w:t>regjistrimi,</w:t>
      </w:r>
      <w:r>
        <w:rPr>
          <w:spacing w:val="-8"/>
        </w:rPr>
        <w:t> </w:t>
      </w:r>
      <w:r>
        <w:rPr>
          <w:spacing w:val="-2"/>
        </w:rPr>
        <w:t>në</w:t>
      </w:r>
      <w:r>
        <w:rPr>
          <w:spacing w:val="-10"/>
        </w:rPr>
        <w:t> </w:t>
      </w:r>
      <w:r>
        <w:rPr>
          <w:spacing w:val="-2"/>
        </w:rPr>
        <w:t>ambientet</w:t>
      </w:r>
      <w:r>
        <w:rPr>
          <w:spacing w:val="-7"/>
        </w:rPr>
        <w:t> </w:t>
      </w:r>
      <w:r>
        <w:rPr>
          <w:spacing w:val="-2"/>
        </w:rPr>
        <w:t>e</w:t>
      </w:r>
      <w:r>
        <w:rPr>
          <w:spacing w:val="-9"/>
        </w:rPr>
        <w:t> </w:t>
      </w:r>
      <w:r>
        <w:rPr>
          <w:spacing w:val="-2"/>
        </w:rPr>
        <w:t>dhomës</w:t>
      </w:r>
      <w:r>
        <w:rPr>
          <w:spacing w:val="-8"/>
        </w:rPr>
        <w:t> </w:t>
      </w:r>
      <w:r>
        <w:rPr>
          <w:spacing w:val="-2"/>
        </w:rPr>
        <w:t>së</w:t>
      </w:r>
      <w:r>
        <w:rPr>
          <w:spacing w:val="-9"/>
        </w:rPr>
        <w:t> </w:t>
      </w:r>
      <w:r>
        <w:rPr>
          <w:spacing w:val="-2"/>
        </w:rPr>
        <w:t>fshehtë</w:t>
      </w:r>
      <w:r>
        <w:rPr>
          <w:spacing w:val="-9"/>
        </w:rPr>
        <w:t> </w:t>
      </w:r>
      <w:r>
        <w:rPr>
          <w:spacing w:val="-2"/>
        </w:rPr>
        <w:t>të</w:t>
      </w:r>
      <w:r>
        <w:rPr>
          <w:spacing w:val="-9"/>
        </w:rPr>
        <w:t> </w:t>
      </w:r>
      <w:r>
        <w:rPr>
          <w:spacing w:val="-2"/>
        </w:rPr>
        <w:t>votimit.</w:t>
      </w:r>
    </w:p>
    <w:p>
      <w:pPr>
        <w:pStyle w:val="BodyText"/>
        <w:rPr>
          <w:sz w:val="26"/>
        </w:rPr>
      </w:pPr>
    </w:p>
    <w:p>
      <w:pPr>
        <w:pStyle w:val="BodyText"/>
        <w:rPr>
          <w:sz w:val="26"/>
        </w:rPr>
      </w:pPr>
    </w:p>
    <w:p>
      <w:pPr>
        <w:pStyle w:val="ListParagraph"/>
        <w:numPr>
          <w:ilvl w:val="0"/>
          <w:numId w:val="3"/>
        </w:numPr>
        <w:tabs>
          <w:tab w:pos="839" w:val="left" w:leader="none"/>
          <w:tab w:pos="840" w:val="left" w:leader="none"/>
        </w:tabs>
        <w:spacing w:line="240" w:lineRule="auto" w:before="162" w:after="0"/>
        <w:ind w:left="840" w:right="0" w:hanging="723"/>
        <w:jc w:val="left"/>
        <w:rPr>
          <w:b/>
          <w:sz w:val="24"/>
        </w:rPr>
      </w:pPr>
      <w:bookmarkStart w:name="➔ URekomandime drejtuar Organeve të Sist" w:id="43"/>
      <w:bookmarkEnd w:id="43"/>
      <w:r>
        <w:rPr>
          <w:b/>
          <w:sz w:val="24"/>
          <w:u w:val="single"/>
        </w:rPr>
        <w:t>R</w:t>
      </w:r>
      <w:r>
        <w:rPr>
          <w:b/>
          <w:sz w:val="24"/>
          <w:u w:val="single"/>
        </w:rPr>
        <w:t>ekomandime</w:t>
      </w:r>
      <w:r>
        <w:rPr>
          <w:b/>
          <w:spacing w:val="-7"/>
          <w:sz w:val="24"/>
          <w:u w:val="single"/>
        </w:rPr>
        <w:t> </w:t>
      </w:r>
      <w:r>
        <w:rPr>
          <w:b/>
          <w:sz w:val="24"/>
          <w:u w:val="single"/>
        </w:rPr>
        <w:t>drejtuar</w:t>
      </w:r>
      <w:r>
        <w:rPr>
          <w:b/>
          <w:spacing w:val="-6"/>
          <w:sz w:val="24"/>
          <w:u w:val="single"/>
        </w:rPr>
        <w:t> </w:t>
      </w:r>
      <w:r>
        <w:rPr>
          <w:b/>
          <w:sz w:val="24"/>
          <w:u w:val="single"/>
        </w:rPr>
        <w:t>Organeve</w:t>
      </w:r>
      <w:r>
        <w:rPr>
          <w:b/>
          <w:spacing w:val="-7"/>
          <w:sz w:val="24"/>
          <w:u w:val="single"/>
        </w:rPr>
        <w:t> </w:t>
      </w:r>
      <w:r>
        <w:rPr>
          <w:b/>
          <w:sz w:val="24"/>
          <w:u w:val="single"/>
        </w:rPr>
        <w:t>të</w:t>
      </w:r>
      <w:r>
        <w:rPr>
          <w:b/>
          <w:spacing w:val="-7"/>
          <w:sz w:val="24"/>
          <w:u w:val="single"/>
        </w:rPr>
        <w:t> </w:t>
      </w:r>
      <w:r>
        <w:rPr>
          <w:b/>
          <w:sz w:val="24"/>
          <w:u w:val="single"/>
        </w:rPr>
        <w:t>Sistemit</w:t>
      </w:r>
      <w:r>
        <w:rPr>
          <w:b/>
          <w:spacing w:val="-7"/>
          <w:sz w:val="24"/>
          <w:u w:val="single"/>
        </w:rPr>
        <w:t> </w:t>
      </w:r>
      <w:r>
        <w:rPr>
          <w:b/>
          <w:sz w:val="24"/>
          <w:u w:val="single"/>
        </w:rPr>
        <w:t>të</w:t>
      </w:r>
      <w:r>
        <w:rPr>
          <w:b/>
          <w:spacing w:val="-6"/>
          <w:sz w:val="24"/>
          <w:u w:val="single"/>
        </w:rPr>
        <w:t> </w:t>
      </w:r>
      <w:r>
        <w:rPr>
          <w:b/>
          <w:spacing w:val="-2"/>
          <w:sz w:val="24"/>
          <w:u w:val="single"/>
        </w:rPr>
        <w:t>Drejtësisë</w:t>
      </w:r>
    </w:p>
    <w:p>
      <w:pPr>
        <w:pStyle w:val="BodyText"/>
        <w:spacing w:before="187"/>
        <w:ind w:left="120" w:right="102" w:hanging="3"/>
        <w:jc w:val="both"/>
      </w:pPr>
      <w:bookmarkStart w:name="Indicie dhe akuza për shitëblerje të vot" w:id="44"/>
      <w:bookmarkEnd w:id="44"/>
      <w:r>
        <w:rPr/>
      </w:r>
      <w:r>
        <w:rPr/>
        <w:t>Indicie</w:t>
      </w:r>
      <w:r>
        <w:rPr>
          <w:spacing w:val="-2"/>
        </w:rPr>
        <w:t> </w:t>
      </w:r>
      <w:r>
        <w:rPr/>
        <w:t>dhe</w:t>
      </w:r>
      <w:r>
        <w:rPr>
          <w:spacing w:val="-2"/>
        </w:rPr>
        <w:t> </w:t>
      </w:r>
      <w:r>
        <w:rPr/>
        <w:t>akuza</w:t>
      </w:r>
      <w:r>
        <w:rPr>
          <w:spacing w:val="-2"/>
        </w:rPr>
        <w:t> </w:t>
      </w:r>
      <w:r>
        <w:rPr/>
        <w:t>për</w:t>
      </w:r>
      <w:r>
        <w:rPr>
          <w:spacing w:val="-2"/>
        </w:rPr>
        <w:t> </w:t>
      </w:r>
      <w:r>
        <w:rPr/>
        <w:t>shitëblerje</w:t>
      </w:r>
      <w:r>
        <w:rPr>
          <w:spacing w:val="-1"/>
        </w:rPr>
        <w:t> </w:t>
      </w:r>
      <w:r>
        <w:rPr/>
        <w:t>të</w:t>
      </w:r>
      <w:r>
        <w:rPr>
          <w:spacing w:val="-1"/>
        </w:rPr>
        <w:t> </w:t>
      </w:r>
      <w:r>
        <w:rPr/>
        <w:t>votave gjatë</w:t>
      </w:r>
      <w:r>
        <w:rPr>
          <w:spacing w:val="-1"/>
        </w:rPr>
        <w:t> </w:t>
      </w:r>
      <w:r>
        <w:rPr/>
        <w:t>procesit parazgjedhor</w:t>
      </w:r>
      <w:r>
        <w:rPr>
          <w:spacing w:val="-1"/>
        </w:rPr>
        <w:t> </w:t>
      </w:r>
      <w:r>
        <w:rPr/>
        <w:t>në</w:t>
      </w:r>
      <w:r>
        <w:rPr>
          <w:spacing w:val="-1"/>
        </w:rPr>
        <w:t> </w:t>
      </w:r>
      <w:r>
        <w:rPr/>
        <w:t>zgjedhjet e</w:t>
      </w:r>
      <w:r>
        <w:rPr>
          <w:spacing w:val="-1"/>
        </w:rPr>
        <w:t> </w:t>
      </w:r>
      <w:r>
        <w:rPr/>
        <w:t>fundit, përfshi</w:t>
      </w:r>
      <w:r>
        <w:rPr>
          <w:spacing w:val="-14"/>
        </w:rPr>
        <w:t> </w:t>
      </w:r>
      <w:r>
        <w:rPr/>
        <w:t>ato</w:t>
      </w:r>
      <w:r>
        <w:rPr>
          <w:spacing w:val="-12"/>
        </w:rPr>
        <w:t> </w:t>
      </w:r>
      <w:r>
        <w:rPr/>
        <w:t>parlamentare,</w:t>
      </w:r>
      <w:r>
        <w:rPr>
          <w:spacing w:val="-12"/>
        </w:rPr>
        <w:t> </w:t>
      </w:r>
      <w:r>
        <w:rPr/>
        <w:t>janë</w:t>
      </w:r>
      <w:r>
        <w:rPr>
          <w:spacing w:val="-15"/>
        </w:rPr>
        <w:t> </w:t>
      </w:r>
      <w:r>
        <w:rPr/>
        <w:t>sinjalizuar</w:t>
      </w:r>
      <w:r>
        <w:rPr>
          <w:spacing w:val="-15"/>
        </w:rPr>
        <w:t> </w:t>
      </w:r>
      <w:r>
        <w:rPr/>
        <w:t>në</w:t>
      </w:r>
      <w:r>
        <w:rPr>
          <w:spacing w:val="-13"/>
        </w:rPr>
        <w:t> </w:t>
      </w:r>
      <w:r>
        <w:rPr/>
        <w:t>disa</w:t>
      </w:r>
      <w:r>
        <w:rPr>
          <w:spacing w:val="-15"/>
        </w:rPr>
        <w:t> </w:t>
      </w:r>
      <w:r>
        <w:rPr/>
        <w:t>prej</w:t>
      </w:r>
      <w:r>
        <w:rPr>
          <w:spacing w:val="-14"/>
        </w:rPr>
        <w:t> </w:t>
      </w:r>
      <w:r>
        <w:rPr/>
        <w:t>bashkive</w:t>
      </w:r>
      <w:r>
        <w:rPr>
          <w:spacing w:val="-15"/>
        </w:rPr>
        <w:t> </w:t>
      </w:r>
      <w:r>
        <w:rPr/>
        <w:t>të</w:t>
      </w:r>
      <w:r>
        <w:rPr>
          <w:spacing w:val="-15"/>
        </w:rPr>
        <w:t> </w:t>
      </w:r>
      <w:r>
        <w:rPr/>
        <w:t>vendit.</w:t>
      </w:r>
      <w:r>
        <w:rPr>
          <w:spacing w:val="-12"/>
        </w:rPr>
        <w:t> </w:t>
      </w:r>
      <w:r>
        <w:rPr/>
        <w:t>Hetimi</w:t>
      </w:r>
      <w:r>
        <w:rPr>
          <w:spacing w:val="-14"/>
        </w:rPr>
        <w:t> </w:t>
      </w:r>
      <w:r>
        <w:rPr/>
        <w:t>i</w:t>
      </w:r>
      <w:r>
        <w:rPr>
          <w:spacing w:val="-14"/>
        </w:rPr>
        <w:t> </w:t>
      </w:r>
      <w:r>
        <w:rPr/>
        <w:t>prokurorisë duhet të jetë më i shpejtë, objektiv, i gjithëanshëm dhe i plotë.</w:t>
      </w:r>
    </w:p>
    <w:p>
      <w:pPr>
        <w:pStyle w:val="BodyText"/>
        <w:spacing w:before="10"/>
        <w:rPr>
          <w:sz w:val="20"/>
        </w:rPr>
      </w:pPr>
    </w:p>
    <w:p>
      <w:pPr>
        <w:pStyle w:val="BodyText"/>
        <w:ind w:left="119" w:right="101" w:hanging="3"/>
        <w:jc w:val="both"/>
      </w:pPr>
      <w:bookmarkStart w:name="Është e papranueshme për publikun që fen" w:id="45"/>
      <w:bookmarkEnd w:id="45"/>
      <w:r>
        <w:rPr/>
      </w:r>
      <w:r>
        <w:rPr/>
        <w:t>Është</w:t>
      </w:r>
      <w:r>
        <w:rPr>
          <w:spacing w:val="-11"/>
        </w:rPr>
        <w:t> </w:t>
      </w:r>
      <w:r>
        <w:rPr/>
        <w:t>e</w:t>
      </w:r>
      <w:r>
        <w:rPr>
          <w:spacing w:val="-11"/>
        </w:rPr>
        <w:t> </w:t>
      </w:r>
      <w:r>
        <w:rPr/>
        <w:t>papranueshme</w:t>
      </w:r>
      <w:r>
        <w:rPr>
          <w:spacing w:val="-8"/>
        </w:rPr>
        <w:t> </w:t>
      </w:r>
      <w:r>
        <w:rPr/>
        <w:t>për</w:t>
      </w:r>
      <w:r>
        <w:rPr>
          <w:spacing w:val="-10"/>
        </w:rPr>
        <w:t> </w:t>
      </w:r>
      <w:r>
        <w:rPr/>
        <w:t>publikun</w:t>
      </w:r>
      <w:r>
        <w:rPr>
          <w:spacing w:val="-10"/>
        </w:rPr>
        <w:t> </w:t>
      </w:r>
      <w:r>
        <w:rPr/>
        <w:t>që</w:t>
      </w:r>
      <w:r>
        <w:rPr>
          <w:spacing w:val="-11"/>
        </w:rPr>
        <w:t> </w:t>
      </w:r>
      <w:r>
        <w:rPr/>
        <w:t>fenomeni</w:t>
      </w:r>
      <w:r>
        <w:rPr>
          <w:spacing w:val="-9"/>
        </w:rPr>
        <w:t> </w:t>
      </w:r>
      <w:r>
        <w:rPr/>
        <w:t>i</w:t>
      </w:r>
      <w:r>
        <w:rPr>
          <w:spacing w:val="-7"/>
        </w:rPr>
        <w:t> </w:t>
      </w:r>
      <w:r>
        <w:rPr/>
        <w:t>përsëritur</w:t>
      </w:r>
      <w:r>
        <w:rPr>
          <w:spacing w:val="-10"/>
        </w:rPr>
        <w:t> </w:t>
      </w:r>
      <w:r>
        <w:rPr/>
        <w:t>i</w:t>
      </w:r>
      <w:r>
        <w:rPr>
          <w:spacing w:val="-9"/>
        </w:rPr>
        <w:t> </w:t>
      </w:r>
      <w:r>
        <w:rPr/>
        <w:t>shitblerjes</w:t>
      </w:r>
      <w:r>
        <w:rPr>
          <w:spacing w:val="-7"/>
        </w:rPr>
        <w:t> </w:t>
      </w:r>
      <w:r>
        <w:rPr/>
        <w:t>së</w:t>
      </w:r>
      <w:r>
        <w:rPr>
          <w:spacing w:val="-8"/>
        </w:rPr>
        <w:t> </w:t>
      </w:r>
      <w:r>
        <w:rPr/>
        <w:t>votave</w:t>
      </w:r>
      <w:r>
        <w:rPr>
          <w:spacing w:val="-11"/>
        </w:rPr>
        <w:t> </w:t>
      </w:r>
      <w:r>
        <w:rPr/>
        <w:t>të</w:t>
      </w:r>
      <w:r>
        <w:rPr>
          <w:spacing w:val="-11"/>
        </w:rPr>
        <w:t> </w:t>
      </w:r>
      <w:r>
        <w:rPr/>
        <w:t>hetohet me një qasje të ngushtë, duke ngarkuar me përgjegjësi individë të caktuar të cilët veprojnë me</w:t>
      </w:r>
      <w:r>
        <w:rPr>
          <w:spacing w:val="-8"/>
        </w:rPr>
        <w:t> </w:t>
      </w:r>
      <w:r>
        <w:rPr/>
        <w:t>statusin</w:t>
      </w:r>
      <w:r>
        <w:rPr>
          <w:spacing w:val="-7"/>
        </w:rPr>
        <w:t> </w:t>
      </w:r>
      <w:r>
        <w:rPr/>
        <w:t>e</w:t>
      </w:r>
      <w:r>
        <w:rPr>
          <w:spacing w:val="-8"/>
        </w:rPr>
        <w:t> </w:t>
      </w:r>
      <w:r>
        <w:rPr/>
        <w:t>ndërmjetësit</w:t>
      </w:r>
      <w:r>
        <w:rPr>
          <w:spacing w:val="-7"/>
        </w:rPr>
        <w:t> </w:t>
      </w:r>
      <w:r>
        <w:rPr/>
        <w:t>për</w:t>
      </w:r>
      <w:r>
        <w:rPr>
          <w:spacing w:val="-8"/>
        </w:rPr>
        <w:t> </w:t>
      </w:r>
      <w:r>
        <w:rPr/>
        <w:t>blerjen</w:t>
      </w:r>
      <w:r>
        <w:rPr>
          <w:spacing w:val="-5"/>
        </w:rPr>
        <w:t> </w:t>
      </w:r>
      <w:r>
        <w:rPr/>
        <w:t>e</w:t>
      </w:r>
      <w:r>
        <w:rPr>
          <w:spacing w:val="-8"/>
        </w:rPr>
        <w:t> </w:t>
      </w:r>
      <w:r>
        <w:rPr/>
        <w:t>votave.</w:t>
      </w:r>
      <w:r>
        <w:rPr>
          <w:spacing w:val="-7"/>
        </w:rPr>
        <w:t> </w:t>
      </w:r>
      <w:r>
        <w:rPr/>
        <w:t>Skema</w:t>
      </w:r>
      <w:r>
        <w:rPr>
          <w:spacing w:val="-8"/>
        </w:rPr>
        <w:t> </w:t>
      </w:r>
      <w:r>
        <w:rPr/>
        <w:t>të</w:t>
      </w:r>
      <w:r>
        <w:rPr>
          <w:spacing w:val="-8"/>
        </w:rPr>
        <w:t> </w:t>
      </w:r>
      <w:r>
        <w:rPr/>
        <w:t>tilla</w:t>
      </w:r>
      <w:r>
        <w:rPr>
          <w:spacing w:val="-8"/>
        </w:rPr>
        <w:t> </w:t>
      </w:r>
      <w:r>
        <w:rPr/>
        <w:t>duhet</w:t>
      </w:r>
      <w:r>
        <w:rPr>
          <w:spacing w:val="-7"/>
        </w:rPr>
        <w:t> </w:t>
      </w:r>
      <w:r>
        <w:rPr/>
        <w:t>të</w:t>
      </w:r>
      <w:r>
        <w:rPr>
          <w:spacing w:val="-8"/>
        </w:rPr>
        <w:t> </w:t>
      </w:r>
      <w:r>
        <w:rPr/>
        <w:t>hetohen</w:t>
      </w:r>
      <w:r>
        <w:rPr>
          <w:spacing w:val="-7"/>
        </w:rPr>
        <w:t> </w:t>
      </w:r>
      <w:r>
        <w:rPr/>
        <w:t>me</w:t>
      </w:r>
      <w:r>
        <w:rPr>
          <w:spacing w:val="-8"/>
        </w:rPr>
        <w:t> </w:t>
      </w:r>
      <w:r>
        <w:rPr/>
        <w:t>teknika</w:t>
      </w:r>
      <w:r>
        <w:rPr>
          <w:spacing w:val="-8"/>
        </w:rPr>
        <w:t> </w:t>
      </w:r>
      <w:r>
        <w:rPr/>
        <w:t>të posaçme hetimore, në mënyrë pro-aktive dhe që të mundësojnë ndëshkueshmërinë e çdo përfaqësuesi të subjektit zgjedhor, pa asnjë dallim, pavarësisht rolit dhe pozicionit që ka pranë strukturave të subjektit zgjedhor. Vetëm në këtë mënyrë, mund të ecet drejt rrugës së ndëshkueshmërisë së krimit zgjedhor, parandalimit efektiv të skemave të shitblerjes së votave dhe rrjedhimisht të garantohet integriteti i votës së cdo qytetari.</w:t>
      </w:r>
    </w:p>
    <w:p>
      <w:pPr>
        <w:pStyle w:val="BodyText"/>
        <w:spacing w:before="10"/>
        <w:rPr>
          <w:sz w:val="20"/>
        </w:rPr>
      </w:pPr>
    </w:p>
    <w:p>
      <w:pPr>
        <w:pStyle w:val="BodyText"/>
        <w:ind w:left="119" w:right="103" w:hanging="3"/>
        <w:jc w:val="both"/>
      </w:pPr>
      <w:bookmarkStart w:name="I sugjerojmë Prokurorisë së Përgjithshme" w:id="46"/>
      <w:bookmarkEnd w:id="46"/>
      <w:r>
        <w:rPr/>
      </w:r>
      <w:r>
        <w:rPr/>
        <w:t>I</w:t>
      </w:r>
      <w:r>
        <w:rPr/>
        <w:t> sugjerojmë Prokurorisë së Përgjithshme dhe Prokurorisë së Posaçme veç njoftimeve periodike që kanë të bëjnë me denoncimet e veprave penale në fushën e zgjedhjeve të angazhohen në publikimin në kohë, të treguesve kryesorë që kanë rezultuar nga hetim i çështjeve të tilla. Për të kapërcyer problemin e bashkërendimit të statistikave të paplota ose kontradiktore të ofruara nga institucionet e sistemit të drejtësisë penale, duhet të zhvillohet një sistem i përbashkët regjistrimi efektiv, që përfshin të gjithë hapat e procedimeve.</w:t>
      </w:r>
    </w:p>
    <w:p>
      <w:pPr>
        <w:pStyle w:val="BodyText"/>
        <w:spacing w:before="10"/>
        <w:rPr>
          <w:sz w:val="20"/>
        </w:rPr>
      </w:pPr>
    </w:p>
    <w:p>
      <w:pPr>
        <w:pStyle w:val="BodyText"/>
        <w:ind w:left="119" w:right="104" w:hanging="3"/>
        <w:jc w:val="both"/>
      </w:pPr>
      <w:bookmarkStart w:name="SPAK duhet të ketë burimet e mjaftueshme" w:id="47"/>
      <w:bookmarkEnd w:id="47"/>
      <w:r>
        <w:rPr/>
      </w:r>
      <w:r>
        <w:rPr/>
        <w:t>SPAK duhet të ketë burimet e mjaftueshme njerëzore për të kryer në kohë dhe në mënyrë efektive hetimin e veprave penale të parashikuara nga nenet 328 “Korrupsioni aktiv në zgjedhje” dhe 328/b “Korrupsioni pasiv në zgjedhje”, të Kodit Penal .</w:t>
      </w:r>
    </w:p>
    <w:p>
      <w:pPr>
        <w:pStyle w:val="BodyText"/>
        <w:spacing w:before="10"/>
        <w:rPr>
          <w:sz w:val="20"/>
        </w:rPr>
      </w:pPr>
    </w:p>
    <w:p>
      <w:pPr>
        <w:pStyle w:val="BodyText"/>
        <w:ind w:left="119" w:right="102" w:hanging="3"/>
        <w:jc w:val="both"/>
      </w:pPr>
      <w:bookmarkStart w:name="Sugjerojmë rritjen e sanksioneve penale " w:id="48"/>
      <w:bookmarkEnd w:id="48"/>
      <w:r>
        <w:rPr/>
      </w:r>
      <w:r>
        <w:rPr/>
        <w:t>Sugjerojmë rritjen e sanksioneve penale ndaj shkeljeve, si abuzimi apo shpërdorimi i burimeve administrative shtetërore, kur kjo përbën vepër penale sipas nenit 328/a të Kodit Penal, “Përdorimi i funksionit publik për veprimtari politike ose zgjedhore”.</w:t>
      </w:r>
    </w:p>
    <w:p>
      <w:pPr>
        <w:pStyle w:val="BodyText"/>
        <w:spacing w:before="10"/>
        <w:rPr>
          <w:sz w:val="20"/>
        </w:rPr>
      </w:pPr>
    </w:p>
    <w:p>
      <w:pPr>
        <w:pStyle w:val="BodyText"/>
        <w:ind w:left="119" w:right="105" w:hanging="3"/>
        <w:jc w:val="both"/>
      </w:pPr>
      <w:bookmarkStart w:name="Për të rritur besimin e publikut tek pro" w:id="49"/>
      <w:bookmarkEnd w:id="49"/>
      <w:r>
        <w:rPr/>
      </w:r>
      <w:r>
        <w:rPr/>
        <w:t>Për të rritur besimin e publikut tek procesi zgjedhor në tërësi, dhe efektiviteti i ndëshkueshmërisë,</w:t>
      </w:r>
      <w:r>
        <w:rPr>
          <w:spacing w:val="-10"/>
        </w:rPr>
        <w:t> </w:t>
      </w:r>
      <w:r>
        <w:rPr/>
        <w:t>duhet</w:t>
      </w:r>
      <w:r>
        <w:rPr>
          <w:spacing w:val="-9"/>
        </w:rPr>
        <w:t> </w:t>
      </w:r>
      <w:r>
        <w:rPr/>
        <w:t>rritur</w:t>
      </w:r>
      <w:r>
        <w:rPr>
          <w:spacing w:val="-10"/>
        </w:rPr>
        <w:t> </w:t>
      </w:r>
      <w:r>
        <w:rPr/>
        <w:t>transparenca</w:t>
      </w:r>
      <w:r>
        <w:rPr>
          <w:spacing w:val="-11"/>
        </w:rPr>
        <w:t> </w:t>
      </w:r>
      <w:r>
        <w:rPr/>
        <w:t>nga</w:t>
      </w:r>
      <w:r>
        <w:rPr>
          <w:spacing w:val="-11"/>
        </w:rPr>
        <w:t> </w:t>
      </w:r>
      <w:r>
        <w:rPr/>
        <w:t>ana</w:t>
      </w:r>
      <w:r>
        <w:rPr>
          <w:spacing w:val="-11"/>
        </w:rPr>
        <w:t> </w:t>
      </w:r>
      <w:r>
        <w:rPr/>
        <w:t>e</w:t>
      </w:r>
      <w:r>
        <w:rPr>
          <w:spacing w:val="-11"/>
        </w:rPr>
        <w:t> </w:t>
      </w:r>
      <w:r>
        <w:rPr/>
        <w:t>organeve</w:t>
      </w:r>
      <w:r>
        <w:rPr>
          <w:spacing w:val="-11"/>
        </w:rPr>
        <w:t> </w:t>
      </w:r>
      <w:r>
        <w:rPr/>
        <w:t>të</w:t>
      </w:r>
      <w:r>
        <w:rPr>
          <w:spacing w:val="-11"/>
        </w:rPr>
        <w:t> </w:t>
      </w:r>
      <w:r>
        <w:rPr/>
        <w:t>zbatimit</w:t>
      </w:r>
      <w:r>
        <w:rPr>
          <w:spacing w:val="-9"/>
        </w:rPr>
        <w:t> </w:t>
      </w:r>
      <w:r>
        <w:rPr/>
        <w:t>të</w:t>
      </w:r>
      <w:r>
        <w:rPr>
          <w:spacing w:val="-11"/>
        </w:rPr>
        <w:t> </w:t>
      </w:r>
      <w:r>
        <w:rPr/>
        <w:t>ligjit</w:t>
      </w:r>
      <w:r>
        <w:rPr>
          <w:spacing w:val="-9"/>
        </w:rPr>
        <w:t> </w:t>
      </w:r>
      <w:r>
        <w:rPr/>
        <w:t>dhe</w:t>
      </w:r>
      <w:r>
        <w:rPr>
          <w:spacing w:val="-11"/>
        </w:rPr>
        <w:t> </w:t>
      </w:r>
      <w:r>
        <w:rPr/>
        <w:t>atyre proceduese, për vijueshmërinë e hetimit dhe gjykimit të këtyre veprave penale.</w:t>
      </w:r>
    </w:p>
    <w:p>
      <w:pPr>
        <w:pStyle w:val="BodyText"/>
        <w:spacing w:before="3"/>
        <w:rPr>
          <w:sz w:val="21"/>
        </w:rPr>
      </w:pPr>
    </w:p>
    <w:p>
      <w:pPr>
        <w:pStyle w:val="ListParagraph"/>
        <w:numPr>
          <w:ilvl w:val="0"/>
          <w:numId w:val="3"/>
        </w:numPr>
        <w:tabs>
          <w:tab w:pos="839" w:val="left" w:leader="none"/>
          <w:tab w:pos="840" w:val="left" w:leader="none"/>
        </w:tabs>
        <w:spacing w:line="240" w:lineRule="auto" w:before="1" w:after="0"/>
        <w:ind w:left="840" w:right="0" w:hanging="723"/>
        <w:jc w:val="left"/>
        <w:rPr>
          <w:b/>
          <w:sz w:val="24"/>
        </w:rPr>
      </w:pPr>
      <w:bookmarkStart w:name="➔ URekomandime drejtuar KDIMDHP" w:id="50"/>
      <w:bookmarkEnd w:id="50"/>
      <w:r>
        <w:rPr>
          <w:b/>
          <w:sz w:val="24"/>
          <w:u w:val="single"/>
        </w:rPr>
        <w:t>R</w:t>
      </w:r>
      <w:r>
        <w:rPr>
          <w:b/>
          <w:sz w:val="24"/>
          <w:u w:val="single"/>
        </w:rPr>
        <w:t>ekomandime</w:t>
      </w:r>
      <w:r>
        <w:rPr>
          <w:b/>
          <w:spacing w:val="-15"/>
          <w:sz w:val="24"/>
          <w:u w:val="single"/>
        </w:rPr>
        <w:t> </w:t>
      </w:r>
      <w:r>
        <w:rPr>
          <w:b/>
          <w:sz w:val="24"/>
          <w:u w:val="single"/>
        </w:rPr>
        <w:t>drejtuar</w:t>
      </w:r>
      <w:r>
        <w:rPr>
          <w:b/>
          <w:spacing w:val="-15"/>
          <w:sz w:val="24"/>
          <w:u w:val="single"/>
        </w:rPr>
        <w:t> </w:t>
      </w:r>
      <w:r>
        <w:rPr>
          <w:b/>
          <w:spacing w:val="-2"/>
          <w:sz w:val="24"/>
          <w:u w:val="single"/>
        </w:rPr>
        <w:t>KDIMDHP</w:t>
      </w:r>
    </w:p>
    <w:p>
      <w:pPr>
        <w:pStyle w:val="BodyText"/>
        <w:spacing w:before="187"/>
        <w:ind w:left="119" w:right="103" w:hanging="3"/>
        <w:jc w:val="both"/>
      </w:pPr>
      <w:bookmarkStart w:name="Nisur nga një databazë e paprecedentë që" w:id="51"/>
      <w:bookmarkEnd w:id="51"/>
      <w:r>
        <w:rPr/>
      </w:r>
      <w:r>
        <w:rPr/>
        <w:t>Nisur</w:t>
      </w:r>
      <w:r>
        <w:rPr>
          <w:spacing w:val="-8"/>
        </w:rPr>
        <w:t> </w:t>
      </w:r>
      <w:r>
        <w:rPr/>
        <w:t>nga</w:t>
      </w:r>
      <w:r>
        <w:rPr>
          <w:spacing w:val="-8"/>
        </w:rPr>
        <w:t> </w:t>
      </w:r>
      <w:r>
        <w:rPr/>
        <w:t>një</w:t>
      </w:r>
      <w:r>
        <w:rPr>
          <w:spacing w:val="-8"/>
        </w:rPr>
        <w:t> </w:t>
      </w:r>
      <w:r>
        <w:rPr/>
        <w:t>databazë</w:t>
      </w:r>
      <w:r>
        <w:rPr>
          <w:spacing w:val="-6"/>
        </w:rPr>
        <w:t> </w:t>
      </w:r>
      <w:r>
        <w:rPr/>
        <w:t>e</w:t>
      </w:r>
      <w:r>
        <w:rPr>
          <w:spacing w:val="-6"/>
        </w:rPr>
        <w:t> </w:t>
      </w:r>
      <w:r>
        <w:rPr/>
        <w:t>paprecedentë</w:t>
      </w:r>
      <w:r>
        <w:rPr>
          <w:spacing w:val="-6"/>
        </w:rPr>
        <w:t> </w:t>
      </w:r>
      <w:r>
        <w:rPr/>
        <w:t>që</w:t>
      </w:r>
      <w:r>
        <w:rPr>
          <w:spacing w:val="-6"/>
        </w:rPr>
        <w:t> </w:t>
      </w:r>
      <w:r>
        <w:rPr/>
        <w:t>qarkulloi</w:t>
      </w:r>
      <w:r>
        <w:rPr>
          <w:spacing w:val="-7"/>
        </w:rPr>
        <w:t> </w:t>
      </w:r>
      <w:r>
        <w:rPr/>
        <w:t>për</w:t>
      </w:r>
      <w:r>
        <w:rPr>
          <w:spacing w:val="-8"/>
        </w:rPr>
        <w:t> </w:t>
      </w:r>
      <w:r>
        <w:rPr/>
        <w:t>përhapjen</w:t>
      </w:r>
      <w:r>
        <w:rPr>
          <w:spacing w:val="-7"/>
        </w:rPr>
        <w:t> </w:t>
      </w:r>
      <w:r>
        <w:rPr/>
        <w:t>e</w:t>
      </w:r>
      <w:r>
        <w:rPr>
          <w:spacing w:val="-6"/>
        </w:rPr>
        <w:t> </w:t>
      </w:r>
      <w:r>
        <w:rPr/>
        <w:t>paligjshme</w:t>
      </w:r>
      <w:r>
        <w:rPr>
          <w:spacing w:val="-8"/>
        </w:rPr>
        <w:t> </w:t>
      </w:r>
      <w:r>
        <w:rPr/>
        <w:t>të</w:t>
      </w:r>
      <w:r>
        <w:rPr>
          <w:spacing w:val="-8"/>
        </w:rPr>
        <w:t> </w:t>
      </w:r>
      <w:r>
        <w:rPr/>
        <w:t>të</w:t>
      </w:r>
      <w:r>
        <w:rPr>
          <w:spacing w:val="-6"/>
        </w:rPr>
        <w:t> </w:t>
      </w:r>
      <w:r>
        <w:rPr/>
        <w:t>dhënave personale për 910 mijë shtetas/zgjedhës në zgjedhjet e kaluara parlamentare, është e rëndësishme</w:t>
      </w:r>
      <w:r>
        <w:rPr>
          <w:spacing w:val="-9"/>
        </w:rPr>
        <w:t> </w:t>
      </w:r>
      <w:r>
        <w:rPr/>
        <w:t>të</w:t>
      </w:r>
      <w:r>
        <w:rPr>
          <w:spacing w:val="-9"/>
        </w:rPr>
        <w:t> </w:t>
      </w:r>
      <w:r>
        <w:rPr/>
        <w:t>sjellim</w:t>
      </w:r>
      <w:r>
        <w:rPr>
          <w:spacing w:val="-8"/>
        </w:rPr>
        <w:t> </w:t>
      </w:r>
      <w:r>
        <w:rPr/>
        <w:t>në</w:t>
      </w:r>
      <w:r>
        <w:rPr>
          <w:spacing w:val="-11"/>
        </w:rPr>
        <w:t> </w:t>
      </w:r>
      <w:r>
        <w:rPr/>
        <w:t>vëmendje</w:t>
      </w:r>
      <w:r>
        <w:rPr>
          <w:spacing w:val="-9"/>
        </w:rPr>
        <w:t> </w:t>
      </w:r>
      <w:r>
        <w:rPr/>
        <w:t>të</w:t>
      </w:r>
      <w:r>
        <w:rPr>
          <w:spacing w:val="-9"/>
        </w:rPr>
        <w:t> </w:t>
      </w:r>
      <w:r>
        <w:rPr/>
        <w:t>subjekteve</w:t>
      </w:r>
      <w:r>
        <w:rPr>
          <w:spacing w:val="-9"/>
        </w:rPr>
        <w:t> </w:t>
      </w:r>
      <w:r>
        <w:rPr/>
        <w:t>zgjedhore</w:t>
      </w:r>
      <w:r>
        <w:rPr>
          <w:spacing w:val="-9"/>
        </w:rPr>
        <w:t> </w:t>
      </w:r>
      <w:r>
        <w:rPr/>
        <w:t>se</w:t>
      </w:r>
      <w:r>
        <w:rPr>
          <w:spacing w:val="-9"/>
        </w:rPr>
        <w:t> </w:t>
      </w:r>
      <w:r>
        <w:rPr/>
        <w:t>nuk</w:t>
      </w:r>
      <w:r>
        <w:rPr>
          <w:spacing w:val="-8"/>
        </w:rPr>
        <w:t> </w:t>
      </w:r>
      <w:r>
        <w:rPr/>
        <w:t>mund</w:t>
      </w:r>
      <w:r>
        <w:rPr>
          <w:spacing w:val="-8"/>
        </w:rPr>
        <w:t> </w:t>
      </w:r>
      <w:r>
        <w:rPr/>
        <w:t>të</w:t>
      </w:r>
      <w:r>
        <w:rPr>
          <w:spacing w:val="-11"/>
        </w:rPr>
        <w:t> </w:t>
      </w:r>
      <w:r>
        <w:rPr/>
        <w:t>mbajnë</w:t>
      </w:r>
      <w:r>
        <w:rPr>
          <w:spacing w:val="-9"/>
        </w:rPr>
        <w:t> </w:t>
      </w:r>
      <w:r>
        <w:rPr/>
        <w:t>të</w:t>
      </w:r>
      <w:r>
        <w:rPr>
          <w:spacing w:val="-9"/>
        </w:rPr>
        <w:t> </w:t>
      </w:r>
      <w:r>
        <w:rPr/>
        <w:t>dhëna personale dhe sensitive të zgjedhësve, pa miratimin dhe autorizimin e tyre.</w:t>
      </w:r>
    </w:p>
    <w:p>
      <w:pPr>
        <w:pStyle w:val="BodyText"/>
        <w:spacing w:before="7"/>
        <w:rPr>
          <w:sz w:val="20"/>
        </w:rPr>
      </w:pPr>
    </w:p>
    <w:p>
      <w:pPr>
        <w:pStyle w:val="BodyText"/>
        <w:ind w:left="119" w:right="103" w:hanging="3"/>
        <w:jc w:val="both"/>
      </w:pPr>
      <w:bookmarkStart w:name="I rekomandojmë Komisionerit për të Drejt" w:id="52"/>
      <w:bookmarkEnd w:id="52"/>
      <w:r>
        <w:rPr/>
      </w:r>
      <w:r>
        <w:rPr/>
        <w:t>I</w:t>
      </w:r>
      <w:r>
        <w:rPr/>
        <w:t> rekomandojmë</w:t>
      </w:r>
      <w:r>
        <w:rPr/>
        <w:t> Komisionerit për të Drejtën</w:t>
      </w:r>
      <w:r>
        <w:rPr/>
        <w:t> e</w:t>
      </w:r>
      <w:r>
        <w:rPr/>
        <w:t> Informimit</w:t>
      </w:r>
      <w:r>
        <w:rPr/>
        <w:t> dhe</w:t>
      </w:r>
      <w:r>
        <w:rPr/>
        <w:t> Mbrojtjen e të Dhënave Personale të ushtrojë gjatë kësaj periudhe, në mënyrë sistematike, rolin e tij mbikqyrës, me profesionalizëm</w:t>
      </w:r>
      <w:r>
        <w:rPr>
          <w:spacing w:val="10"/>
        </w:rPr>
        <w:t> </w:t>
      </w:r>
      <w:r>
        <w:rPr/>
        <w:t>dhe</w:t>
      </w:r>
      <w:r>
        <w:rPr>
          <w:spacing w:val="9"/>
        </w:rPr>
        <w:t> </w:t>
      </w:r>
      <w:r>
        <w:rPr/>
        <w:t>objektivitet</w:t>
      </w:r>
      <w:r>
        <w:rPr>
          <w:spacing w:val="11"/>
        </w:rPr>
        <w:t> </w:t>
      </w:r>
      <w:r>
        <w:rPr/>
        <w:t>ndaj</w:t>
      </w:r>
      <w:r>
        <w:rPr>
          <w:spacing w:val="10"/>
        </w:rPr>
        <w:t> </w:t>
      </w:r>
      <w:r>
        <w:rPr/>
        <w:t>subjekteve</w:t>
      </w:r>
      <w:r>
        <w:rPr>
          <w:spacing w:val="10"/>
        </w:rPr>
        <w:t> </w:t>
      </w:r>
      <w:r>
        <w:rPr/>
        <w:t>zgjedhore</w:t>
      </w:r>
      <w:r>
        <w:rPr>
          <w:spacing w:val="9"/>
        </w:rPr>
        <w:t> </w:t>
      </w:r>
      <w:r>
        <w:rPr/>
        <w:t>që</w:t>
      </w:r>
      <w:r>
        <w:rPr>
          <w:spacing w:val="9"/>
        </w:rPr>
        <w:t> </w:t>
      </w:r>
      <w:r>
        <w:rPr/>
        <w:t>mbledhin</w:t>
      </w:r>
      <w:r>
        <w:rPr>
          <w:spacing w:val="11"/>
        </w:rPr>
        <w:t> </w:t>
      </w:r>
      <w:r>
        <w:rPr/>
        <w:t>dhe</w:t>
      </w:r>
      <w:r>
        <w:rPr>
          <w:spacing w:val="9"/>
        </w:rPr>
        <w:t> </w:t>
      </w:r>
      <w:r>
        <w:rPr/>
        <w:t>përpunojnë</w:t>
      </w:r>
      <w:r>
        <w:rPr>
          <w:spacing w:val="10"/>
        </w:rPr>
        <w:t> </w:t>
      </w:r>
      <w:r>
        <w:rPr>
          <w:spacing w:val="-5"/>
        </w:rPr>
        <w:t>të</w:t>
      </w:r>
    </w:p>
    <w:p>
      <w:pPr>
        <w:spacing w:after="0"/>
        <w:jc w:val="both"/>
        <w:sectPr>
          <w:pgSz w:w="11910" w:h="16850"/>
          <w:pgMar w:header="600" w:footer="0" w:top="2100" w:bottom="280" w:left="1500" w:right="1360"/>
        </w:sectPr>
      </w:pPr>
    </w:p>
    <w:p>
      <w:pPr>
        <w:pStyle w:val="BodyText"/>
        <w:ind w:left="120" w:right="104"/>
        <w:jc w:val="both"/>
      </w:pPr>
      <w:r>
        <w:rPr/>
        <w:t>dhëna, bazuar në ligjin nr.9887 “Për mbrojtjen e të Dhënave Personale” (i ndryshuar), dhe aplikimin e sanksioneve ndaj subjekteve që gjenden në shkelje të ligjit.</w:t>
      </w:r>
    </w:p>
    <w:p>
      <w:pPr>
        <w:pStyle w:val="BodyText"/>
        <w:spacing w:before="2"/>
        <w:rPr>
          <w:sz w:val="21"/>
        </w:rPr>
      </w:pPr>
    </w:p>
    <w:p>
      <w:pPr>
        <w:pStyle w:val="ListParagraph"/>
        <w:numPr>
          <w:ilvl w:val="0"/>
          <w:numId w:val="3"/>
        </w:numPr>
        <w:tabs>
          <w:tab w:pos="839" w:val="left" w:leader="none"/>
          <w:tab w:pos="840" w:val="left" w:leader="none"/>
        </w:tabs>
        <w:spacing w:line="240" w:lineRule="auto" w:before="0" w:after="0"/>
        <w:ind w:left="840" w:right="0" w:hanging="723"/>
        <w:jc w:val="left"/>
        <w:rPr>
          <w:b/>
          <w:sz w:val="24"/>
        </w:rPr>
      </w:pPr>
      <w:bookmarkStart w:name="➔ URekomandime ndaj kryetarëve të Njësiv" w:id="53"/>
      <w:bookmarkEnd w:id="53"/>
      <w:r>
        <w:rPr>
          <w:b/>
          <w:sz w:val="24"/>
          <w:u w:val="single"/>
        </w:rPr>
        <w:t>R</w:t>
      </w:r>
      <w:r>
        <w:rPr>
          <w:b/>
          <w:sz w:val="24"/>
          <w:u w:val="single"/>
        </w:rPr>
        <w:t>ekomandime</w:t>
      </w:r>
      <w:r>
        <w:rPr>
          <w:b/>
          <w:spacing w:val="-8"/>
          <w:sz w:val="24"/>
          <w:u w:val="single"/>
        </w:rPr>
        <w:t> </w:t>
      </w:r>
      <w:r>
        <w:rPr>
          <w:b/>
          <w:sz w:val="24"/>
          <w:u w:val="single"/>
        </w:rPr>
        <w:t>ndaj</w:t>
      </w:r>
      <w:r>
        <w:rPr>
          <w:b/>
          <w:spacing w:val="-7"/>
          <w:sz w:val="24"/>
          <w:u w:val="single"/>
        </w:rPr>
        <w:t> </w:t>
      </w:r>
      <w:r>
        <w:rPr>
          <w:b/>
          <w:sz w:val="24"/>
          <w:u w:val="single"/>
        </w:rPr>
        <w:t>kryetarëve</w:t>
      </w:r>
      <w:r>
        <w:rPr>
          <w:b/>
          <w:spacing w:val="-7"/>
          <w:sz w:val="24"/>
          <w:u w:val="single"/>
        </w:rPr>
        <w:t> </w:t>
      </w:r>
      <w:r>
        <w:rPr>
          <w:b/>
          <w:sz w:val="24"/>
          <w:u w:val="single"/>
        </w:rPr>
        <w:t>të</w:t>
      </w:r>
      <w:r>
        <w:rPr>
          <w:b/>
          <w:spacing w:val="-7"/>
          <w:sz w:val="24"/>
          <w:u w:val="single"/>
        </w:rPr>
        <w:t> </w:t>
      </w:r>
      <w:r>
        <w:rPr>
          <w:b/>
          <w:sz w:val="24"/>
          <w:u w:val="single"/>
        </w:rPr>
        <w:t>Njësive</w:t>
      </w:r>
      <w:r>
        <w:rPr>
          <w:b/>
          <w:spacing w:val="-7"/>
          <w:sz w:val="24"/>
          <w:u w:val="single"/>
        </w:rPr>
        <w:t> </w:t>
      </w:r>
      <w:r>
        <w:rPr>
          <w:b/>
          <w:sz w:val="24"/>
          <w:u w:val="single"/>
        </w:rPr>
        <w:t>të</w:t>
      </w:r>
      <w:r>
        <w:rPr>
          <w:b/>
          <w:spacing w:val="-7"/>
          <w:sz w:val="24"/>
          <w:u w:val="single"/>
        </w:rPr>
        <w:t> </w:t>
      </w:r>
      <w:r>
        <w:rPr>
          <w:b/>
          <w:sz w:val="24"/>
          <w:u w:val="single"/>
        </w:rPr>
        <w:t>Qeverisjes</w:t>
      </w:r>
      <w:r>
        <w:rPr>
          <w:b/>
          <w:spacing w:val="-6"/>
          <w:sz w:val="24"/>
          <w:u w:val="single"/>
        </w:rPr>
        <w:t> </w:t>
      </w:r>
      <w:r>
        <w:rPr>
          <w:b/>
          <w:spacing w:val="-2"/>
          <w:sz w:val="24"/>
          <w:u w:val="single"/>
        </w:rPr>
        <w:t>Vendore</w:t>
      </w:r>
    </w:p>
    <w:p>
      <w:pPr>
        <w:pStyle w:val="BodyText"/>
        <w:spacing w:before="187"/>
        <w:ind w:left="119" w:right="104" w:hanging="3"/>
        <w:jc w:val="both"/>
      </w:pPr>
      <w:bookmarkStart w:name="Edhe praktika e zgjedhjeve të mëparshme " w:id="54"/>
      <w:bookmarkEnd w:id="54"/>
      <w:r>
        <w:rPr/>
      </w:r>
      <w:r>
        <w:rPr/>
        <w:t>Edhe</w:t>
      </w:r>
      <w:r>
        <w:rPr>
          <w:spacing w:val="-6"/>
        </w:rPr>
        <w:t> </w:t>
      </w:r>
      <w:r>
        <w:rPr/>
        <w:t>praktika</w:t>
      </w:r>
      <w:r>
        <w:rPr>
          <w:spacing w:val="-6"/>
        </w:rPr>
        <w:t> </w:t>
      </w:r>
      <w:r>
        <w:rPr/>
        <w:t>e</w:t>
      </w:r>
      <w:r>
        <w:rPr>
          <w:spacing w:val="-6"/>
        </w:rPr>
        <w:t> </w:t>
      </w:r>
      <w:r>
        <w:rPr/>
        <w:t>zgjedhjeve</w:t>
      </w:r>
      <w:r>
        <w:rPr>
          <w:spacing w:val="-6"/>
        </w:rPr>
        <w:t> </w:t>
      </w:r>
      <w:r>
        <w:rPr/>
        <w:t>të</w:t>
      </w:r>
      <w:r>
        <w:rPr>
          <w:spacing w:val="-6"/>
        </w:rPr>
        <w:t> </w:t>
      </w:r>
      <w:r>
        <w:rPr/>
        <w:t>mëparshme</w:t>
      </w:r>
      <w:r>
        <w:rPr>
          <w:spacing w:val="-6"/>
        </w:rPr>
        <w:t> </w:t>
      </w:r>
      <w:r>
        <w:rPr/>
        <w:t>si</w:t>
      </w:r>
      <w:r>
        <w:rPr>
          <w:spacing w:val="-2"/>
        </w:rPr>
        <w:t> </w:t>
      </w:r>
      <w:r>
        <w:rPr/>
        <w:t>dhe</w:t>
      </w:r>
      <w:r>
        <w:rPr>
          <w:spacing w:val="-3"/>
        </w:rPr>
        <w:t> </w:t>
      </w:r>
      <w:r>
        <w:rPr/>
        <w:t>monitorimi</w:t>
      </w:r>
      <w:r>
        <w:rPr>
          <w:spacing w:val="-4"/>
        </w:rPr>
        <w:t> </w:t>
      </w:r>
      <w:r>
        <w:rPr/>
        <w:t>i</w:t>
      </w:r>
      <w:r>
        <w:rPr>
          <w:spacing w:val="-4"/>
        </w:rPr>
        <w:t> </w:t>
      </w:r>
      <w:r>
        <w:rPr/>
        <w:t>zgjedhjeve</w:t>
      </w:r>
      <w:r>
        <w:rPr>
          <w:spacing w:val="-3"/>
        </w:rPr>
        <w:t> </w:t>
      </w:r>
      <w:r>
        <w:rPr/>
        <w:t>parlamentare</w:t>
      </w:r>
      <w:r>
        <w:rPr>
          <w:spacing w:val="-6"/>
        </w:rPr>
        <w:t> </w:t>
      </w:r>
      <w:r>
        <w:rPr/>
        <w:t>të</w:t>
      </w:r>
      <w:r>
        <w:rPr>
          <w:spacing w:val="-3"/>
        </w:rPr>
        <w:t> </w:t>
      </w:r>
      <w:r>
        <w:rPr/>
        <w:t>25 prillit 2021 ka vërtetuar se njësitë e qeverisjes vendore në disa QV nuk marrin masat paraprake që ditën e votimit t’u krijohen lehtësitë e nevojshme personave me aftësi të kufizuar që e kanë vështirë lëvizjen pa ndihmesën e mjeteve përkatëse. I sugjerojmë kryetarëve</w:t>
      </w:r>
      <w:r>
        <w:rPr>
          <w:spacing w:val="-13"/>
        </w:rPr>
        <w:t> </w:t>
      </w:r>
      <w:r>
        <w:rPr/>
        <w:t>të</w:t>
      </w:r>
      <w:r>
        <w:rPr>
          <w:spacing w:val="-13"/>
        </w:rPr>
        <w:t> </w:t>
      </w:r>
      <w:r>
        <w:rPr/>
        <w:t>këtyre</w:t>
      </w:r>
      <w:r>
        <w:rPr>
          <w:spacing w:val="-13"/>
        </w:rPr>
        <w:t> </w:t>
      </w:r>
      <w:r>
        <w:rPr/>
        <w:t>njësive</w:t>
      </w:r>
      <w:r>
        <w:rPr>
          <w:spacing w:val="-13"/>
        </w:rPr>
        <w:t> </w:t>
      </w:r>
      <w:r>
        <w:rPr/>
        <w:t>të</w:t>
      </w:r>
      <w:r>
        <w:rPr>
          <w:spacing w:val="-13"/>
        </w:rPr>
        <w:t> </w:t>
      </w:r>
      <w:r>
        <w:rPr/>
        <w:t>marrin</w:t>
      </w:r>
      <w:r>
        <w:rPr>
          <w:spacing w:val="-12"/>
        </w:rPr>
        <w:t> </w:t>
      </w:r>
      <w:r>
        <w:rPr/>
        <w:t>informacionin</w:t>
      </w:r>
      <w:r>
        <w:rPr>
          <w:spacing w:val="-12"/>
        </w:rPr>
        <w:t> </w:t>
      </w:r>
      <w:r>
        <w:rPr/>
        <w:t>përkatës</w:t>
      </w:r>
      <w:r>
        <w:rPr>
          <w:spacing w:val="-12"/>
        </w:rPr>
        <w:t> </w:t>
      </w:r>
      <w:r>
        <w:rPr/>
        <w:t>për</w:t>
      </w:r>
      <w:r>
        <w:rPr>
          <w:spacing w:val="-13"/>
        </w:rPr>
        <w:t> </w:t>
      </w:r>
      <w:r>
        <w:rPr/>
        <w:t>zgjedhës</w:t>
      </w:r>
      <w:r>
        <w:rPr>
          <w:spacing w:val="-9"/>
        </w:rPr>
        <w:t> </w:t>
      </w:r>
      <w:r>
        <w:rPr/>
        <w:t>të</w:t>
      </w:r>
      <w:r>
        <w:rPr>
          <w:spacing w:val="-11"/>
        </w:rPr>
        <w:t> </w:t>
      </w:r>
      <w:r>
        <w:rPr/>
        <w:t>kësaj</w:t>
      </w:r>
      <w:r>
        <w:rPr>
          <w:spacing w:val="-12"/>
        </w:rPr>
        <w:t> </w:t>
      </w:r>
      <w:r>
        <w:rPr/>
        <w:t>kategorie, si dhe të bashkë-koordinohen në kohë reale me KQZ-në për gjetjen e zgjidhjeve alternative për</w:t>
      </w:r>
      <w:r>
        <w:rPr>
          <w:spacing w:val="-10"/>
        </w:rPr>
        <w:t> </w:t>
      </w:r>
      <w:r>
        <w:rPr/>
        <w:t>të</w:t>
      </w:r>
      <w:r>
        <w:rPr>
          <w:spacing w:val="-6"/>
        </w:rPr>
        <w:t> </w:t>
      </w:r>
      <w:r>
        <w:rPr/>
        <w:t>garantuar</w:t>
      </w:r>
      <w:r>
        <w:rPr>
          <w:spacing w:val="-10"/>
        </w:rPr>
        <w:t> </w:t>
      </w:r>
      <w:r>
        <w:rPr/>
        <w:t>të</w:t>
      </w:r>
      <w:r>
        <w:rPr>
          <w:spacing w:val="-11"/>
        </w:rPr>
        <w:t> </w:t>
      </w:r>
      <w:r>
        <w:rPr/>
        <w:t>drejtën</w:t>
      </w:r>
      <w:r>
        <w:rPr>
          <w:spacing w:val="-7"/>
        </w:rPr>
        <w:t> </w:t>
      </w:r>
      <w:r>
        <w:rPr/>
        <w:t>e</w:t>
      </w:r>
      <w:r>
        <w:rPr>
          <w:spacing w:val="-11"/>
        </w:rPr>
        <w:t> </w:t>
      </w:r>
      <w:r>
        <w:rPr/>
        <w:t>votimit</w:t>
      </w:r>
      <w:r>
        <w:rPr>
          <w:spacing w:val="-9"/>
        </w:rPr>
        <w:t> </w:t>
      </w:r>
      <w:r>
        <w:rPr/>
        <w:t>pa</w:t>
      </w:r>
      <w:r>
        <w:rPr>
          <w:spacing w:val="-11"/>
        </w:rPr>
        <w:t> </w:t>
      </w:r>
      <w:r>
        <w:rPr/>
        <w:t>asnjë</w:t>
      </w:r>
      <w:r>
        <w:rPr>
          <w:spacing w:val="-8"/>
        </w:rPr>
        <w:t> </w:t>
      </w:r>
      <w:r>
        <w:rPr/>
        <w:t>diskriminim,</w:t>
      </w:r>
      <w:r>
        <w:rPr>
          <w:spacing w:val="-10"/>
        </w:rPr>
        <w:t> </w:t>
      </w:r>
      <w:r>
        <w:rPr/>
        <w:t>e</w:t>
      </w:r>
      <w:r>
        <w:rPr>
          <w:spacing w:val="-11"/>
        </w:rPr>
        <w:t> </w:t>
      </w:r>
      <w:r>
        <w:rPr/>
        <w:t>në</w:t>
      </w:r>
      <w:r>
        <w:rPr>
          <w:spacing w:val="-11"/>
        </w:rPr>
        <w:t> </w:t>
      </w:r>
      <w:r>
        <w:rPr/>
        <w:t>mënyrë</w:t>
      </w:r>
      <w:r>
        <w:rPr>
          <w:spacing w:val="-8"/>
        </w:rPr>
        <w:t> </w:t>
      </w:r>
      <w:r>
        <w:rPr/>
        <w:t>gjithëpërfshirëve</w:t>
      </w:r>
      <w:r>
        <w:rPr>
          <w:spacing w:val="-8"/>
        </w:rPr>
        <w:t> </w:t>
      </w:r>
      <w:r>
        <w:rPr/>
        <w:t>ndaj të gjithë zgjedhësve.</w:t>
      </w:r>
    </w:p>
    <w:p>
      <w:pPr>
        <w:pStyle w:val="BodyText"/>
        <w:spacing w:before="10"/>
        <w:rPr>
          <w:sz w:val="20"/>
        </w:rPr>
      </w:pPr>
    </w:p>
    <w:p>
      <w:pPr>
        <w:pStyle w:val="BodyText"/>
        <w:ind w:left="119" w:right="102" w:hanging="3"/>
        <w:jc w:val="both"/>
      </w:pPr>
      <w:bookmarkStart w:name="Procesi i njoftimit të zgjedhësve në ban" w:id="55"/>
      <w:bookmarkEnd w:id="55"/>
      <w:r>
        <w:rPr/>
      </w:r>
      <w:r>
        <w:rPr/>
        <w:t>Procesi i njoftimit të zgjedhësve në banesa të jetë sistematik deri në publikimin e listës përfundimtare</w:t>
      </w:r>
      <w:r>
        <w:rPr>
          <w:spacing w:val="-15"/>
        </w:rPr>
        <w:t> </w:t>
      </w:r>
      <w:r>
        <w:rPr/>
        <w:t>të</w:t>
      </w:r>
      <w:r>
        <w:rPr>
          <w:spacing w:val="-15"/>
        </w:rPr>
        <w:t> </w:t>
      </w:r>
      <w:r>
        <w:rPr/>
        <w:t>zgjedhësve;</w:t>
      </w:r>
      <w:r>
        <w:rPr>
          <w:spacing w:val="-15"/>
        </w:rPr>
        <w:t> </w:t>
      </w:r>
      <w:r>
        <w:rPr/>
        <w:t>Kryetarët</w:t>
      </w:r>
      <w:r>
        <w:rPr>
          <w:spacing w:val="-15"/>
        </w:rPr>
        <w:t> </w:t>
      </w:r>
      <w:r>
        <w:rPr/>
        <w:t>e</w:t>
      </w:r>
      <w:r>
        <w:rPr>
          <w:spacing w:val="-15"/>
        </w:rPr>
        <w:t> </w:t>
      </w:r>
      <w:r>
        <w:rPr/>
        <w:t>njësive</w:t>
      </w:r>
      <w:r>
        <w:rPr>
          <w:spacing w:val="-15"/>
        </w:rPr>
        <w:t> </w:t>
      </w:r>
      <w:r>
        <w:rPr/>
        <w:t>të</w:t>
      </w:r>
      <w:r>
        <w:rPr>
          <w:spacing w:val="-15"/>
        </w:rPr>
        <w:t> </w:t>
      </w:r>
      <w:r>
        <w:rPr/>
        <w:t>qeverisjes</w:t>
      </w:r>
      <w:r>
        <w:rPr>
          <w:spacing w:val="-15"/>
        </w:rPr>
        <w:t> </w:t>
      </w:r>
      <w:r>
        <w:rPr/>
        <w:t>vendore</w:t>
      </w:r>
      <w:r>
        <w:rPr>
          <w:spacing w:val="-15"/>
        </w:rPr>
        <w:t> </w:t>
      </w:r>
      <w:r>
        <w:rPr/>
        <w:t>të</w:t>
      </w:r>
      <w:r>
        <w:rPr>
          <w:spacing w:val="-15"/>
        </w:rPr>
        <w:t> </w:t>
      </w:r>
      <w:r>
        <w:rPr/>
        <w:t>njoftojnë</w:t>
      </w:r>
      <w:r>
        <w:rPr>
          <w:spacing w:val="-15"/>
        </w:rPr>
        <w:t> </w:t>
      </w:r>
      <w:r>
        <w:rPr/>
        <w:t>në</w:t>
      </w:r>
      <w:r>
        <w:rPr>
          <w:spacing w:val="-15"/>
        </w:rPr>
        <w:t> </w:t>
      </w:r>
      <w:r>
        <w:rPr/>
        <w:t>mënyrë provuese çdo 15 ditë KQZ-në, mbi realizimin e kësaj detyre.</w:t>
      </w:r>
    </w:p>
    <w:p>
      <w:pPr>
        <w:pStyle w:val="BodyText"/>
        <w:spacing w:before="4"/>
        <w:rPr>
          <w:sz w:val="21"/>
        </w:rPr>
      </w:pPr>
    </w:p>
    <w:p>
      <w:pPr>
        <w:pStyle w:val="ListParagraph"/>
        <w:numPr>
          <w:ilvl w:val="0"/>
          <w:numId w:val="3"/>
        </w:numPr>
        <w:tabs>
          <w:tab w:pos="839" w:val="left" w:leader="none"/>
          <w:tab w:pos="840" w:val="left" w:leader="none"/>
        </w:tabs>
        <w:spacing w:line="240" w:lineRule="auto" w:before="0" w:after="0"/>
        <w:ind w:left="840" w:right="0" w:hanging="723"/>
        <w:jc w:val="left"/>
        <w:rPr>
          <w:b/>
          <w:sz w:val="24"/>
        </w:rPr>
      </w:pPr>
      <w:bookmarkStart w:name="➔ URekomandime drejtuar Partive Politike" w:id="56"/>
      <w:bookmarkEnd w:id="56"/>
      <w:r>
        <w:rPr>
          <w:b/>
          <w:sz w:val="24"/>
          <w:u w:val="single"/>
        </w:rPr>
        <w:t>R</w:t>
      </w:r>
      <w:r>
        <w:rPr>
          <w:b/>
          <w:sz w:val="24"/>
          <w:u w:val="single"/>
        </w:rPr>
        <w:t>ekomandime</w:t>
      </w:r>
      <w:r>
        <w:rPr>
          <w:b/>
          <w:spacing w:val="-12"/>
          <w:sz w:val="24"/>
          <w:u w:val="single"/>
        </w:rPr>
        <w:t> </w:t>
      </w:r>
      <w:r>
        <w:rPr>
          <w:b/>
          <w:sz w:val="24"/>
          <w:u w:val="single"/>
        </w:rPr>
        <w:t>drejtuar</w:t>
      </w:r>
      <w:r>
        <w:rPr>
          <w:b/>
          <w:spacing w:val="-10"/>
          <w:sz w:val="24"/>
          <w:u w:val="single"/>
        </w:rPr>
        <w:t> </w:t>
      </w:r>
      <w:r>
        <w:rPr>
          <w:b/>
          <w:sz w:val="24"/>
          <w:u w:val="single"/>
        </w:rPr>
        <w:t>Partive</w:t>
      </w:r>
      <w:r>
        <w:rPr>
          <w:b/>
          <w:spacing w:val="-10"/>
          <w:sz w:val="24"/>
          <w:u w:val="single"/>
        </w:rPr>
        <w:t> </w:t>
      </w:r>
      <w:r>
        <w:rPr>
          <w:b/>
          <w:spacing w:val="-2"/>
          <w:sz w:val="24"/>
          <w:u w:val="single"/>
        </w:rPr>
        <w:t>Politike</w:t>
      </w:r>
    </w:p>
    <w:p>
      <w:pPr>
        <w:pStyle w:val="BodyText"/>
        <w:spacing w:before="187"/>
        <w:ind w:left="119" w:right="101" w:hanging="3"/>
        <w:jc w:val="both"/>
      </w:pPr>
      <w:bookmarkStart w:name="Bazuar në nevojën për garantimin e integ" w:id="57"/>
      <w:bookmarkEnd w:id="57"/>
      <w:r>
        <w:rPr/>
      </w:r>
      <w:r>
        <w:rPr/>
        <w:t>Bazuar në nevojën për garantimin e integritetit të kandidatëve, në kushtet e zbatimit të legjislacionit të posaçëm për dekriminalizimin, i rekomandojmë subjekteve përkatëse zgjedhore, me pëlqimin e mundshëm të kandidatëve pjesë e listave, jashtë periudhës zgjedhore ose menjëherë pas regjistrimit të tyre në KQZ, të kërkojnë verifikimin e thelluar pranë Prokurorisë së Përgjithshme, me qëllim që kjo e fundit të ketë kohën e nevojshme në dispozicion për të kryer këto verifikime.</w:t>
      </w:r>
    </w:p>
    <w:p>
      <w:pPr>
        <w:pStyle w:val="BodyText"/>
        <w:spacing w:before="10"/>
        <w:rPr>
          <w:sz w:val="20"/>
        </w:rPr>
      </w:pPr>
    </w:p>
    <w:p>
      <w:pPr>
        <w:pStyle w:val="BodyText"/>
        <w:ind w:left="119" w:right="103" w:hanging="3"/>
        <w:jc w:val="both"/>
      </w:pPr>
      <w:bookmarkStart w:name="Duke marrë shkas nga vështirësitë me të " w:id="58"/>
      <w:bookmarkEnd w:id="58"/>
      <w:r>
        <w:rPr/>
      </w:r>
      <w:r>
        <w:rPr/>
        <w:t>Duke marrë shkas nga vështirësitë me të cilat është ndeshur Prokuroria e Përgjithshme në verifikimin e të dhënave për kandidatët, nëpërmjet përdorimit të marrëdhënieve juridiksionale me jashtë, me synim respektimin e afateve ligjore, i sugjerojmë vetë subjekteve zgjedhore marrjen e masave për verifikimin paraprak të kandidatëve, për të garantuar realizimin e një gare meritokratike dhe të ndershme.</w:t>
      </w:r>
    </w:p>
    <w:p>
      <w:pPr>
        <w:pStyle w:val="BodyText"/>
        <w:spacing w:before="10"/>
        <w:rPr>
          <w:sz w:val="20"/>
        </w:rPr>
      </w:pPr>
    </w:p>
    <w:p>
      <w:pPr>
        <w:pStyle w:val="BodyText"/>
        <w:ind w:left="119" w:right="104" w:hanging="3"/>
        <w:jc w:val="both"/>
      </w:pPr>
      <w:bookmarkStart w:name="Partitë Politike duhet të promovojnë kan" w:id="59"/>
      <w:bookmarkEnd w:id="59"/>
      <w:r>
        <w:rPr/>
      </w:r>
      <w:r>
        <w:rPr/>
        <w:t>Partitë Politike duhet të promovojnë kandidatë për kryetarë Bashkie, të zgjedhur brenda partisë me anë të një gare te ndershme dhe procedure meritokratike, të cilët paraqesin programe</w:t>
      </w:r>
      <w:r>
        <w:rPr>
          <w:spacing w:val="-7"/>
        </w:rPr>
        <w:t> </w:t>
      </w:r>
      <w:r>
        <w:rPr/>
        <w:t>politike</w:t>
      </w:r>
      <w:r>
        <w:rPr>
          <w:spacing w:val="-7"/>
        </w:rPr>
        <w:t> </w:t>
      </w:r>
      <w:r>
        <w:rPr/>
        <w:t>të</w:t>
      </w:r>
      <w:r>
        <w:rPr>
          <w:spacing w:val="-7"/>
        </w:rPr>
        <w:t> </w:t>
      </w:r>
      <w:r>
        <w:rPr/>
        <w:t>plota,</w:t>
      </w:r>
      <w:r>
        <w:rPr>
          <w:spacing w:val="-6"/>
        </w:rPr>
        <w:t> </w:t>
      </w:r>
      <w:r>
        <w:rPr/>
        <w:t>realiste,</w:t>
      </w:r>
      <w:r>
        <w:rPr>
          <w:spacing w:val="-6"/>
        </w:rPr>
        <w:t> </w:t>
      </w:r>
      <w:r>
        <w:rPr/>
        <w:t>transparente</w:t>
      </w:r>
      <w:r>
        <w:rPr>
          <w:spacing w:val="-7"/>
        </w:rPr>
        <w:t> </w:t>
      </w:r>
      <w:r>
        <w:rPr/>
        <w:t>dhe</w:t>
      </w:r>
      <w:r>
        <w:rPr>
          <w:spacing w:val="-7"/>
        </w:rPr>
        <w:t> </w:t>
      </w:r>
      <w:r>
        <w:rPr/>
        <w:t>përfaqësuese</w:t>
      </w:r>
      <w:r>
        <w:rPr>
          <w:spacing w:val="-7"/>
        </w:rPr>
        <w:t> </w:t>
      </w:r>
      <w:r>
        <w:rPr/>
        <w:t>të</w:t>
      </w:r>
      <w:r>
        <w:rPr>
          <w:spacing w:val="-7"/>
        </w:rPr>
        <w:t> </w:t>
      </w:r>
      <w:r>
        <w:rPr/>
        <w:t>interesave</w:t>
      </w:r>
      <w:r>
        <w:rPr>
          <w:spacing w:val="-7"/>
        </w:rPr>
        <w:t> </w:t>
      </w:r>
      <w:r>
        <w:rPr/>
        <w:t>të</w:t>
      </w:r>
      <w:r>
        <w:rPr>
          <w:spacing w:val="-7"/>
        </w:rPr>
        <w:t> </w:t>
      </w:r>
      <w:r>
        <w:rPr/>
        <w:t>qytetarëve për të krijuar besim dhe pritshmëri në përmbushjen e premtimeve elektorale.</w:t>
      </w:r>
    </w:p>
    <w:p>
      <w:pPr>
        <w:pStyle w:val="BodyText"/>
        <w:spacing w:before="10"/>
        <w:rPr>
          <w:sz w:val="20"/>
        </w:rPr>
      </w:pPr>
    </w:p>
    <w:p>
      <w:pPr>
        <w:pStyle w:val="BodyText"/>
        <w:ind w:left="117"/>
        <w:jc w:val="both"/>
      </w:pPr>
      <w:bookmarkStart w:name="Garantimi i aksesit të barabartë në buri" w:id="60"/>
      <w:bookmarkEnd w:id="60"/>
      <w:r>
        <w:rPr/>
      </w:r>
      <w:r>
        <w:rPr/>
        <w:t>Garantimi</w:t>
      </w:r>
      <w:r>
        <w:rPr>
          <w:spacing w:val="-5"/>
        </w:rPr>
        <w:t> </w:t>
      </w:r>
      <w:r>
        <w:rPr/>
        <w:t>i</w:t>
      </w:r>
      <w:r>
        <w:rPr>
          <w:spacing w:val="-4"/>
        </w:rPr>
        <w:t> </w:t>
      </w:r>
      <w:r>
        <w:rPr/>
        <w:t>aksesit</w:t>
      </w:r>
      <w:r>
        <w:rPr>
          <w:spacing w:val="-3"/>
        </w:rPr>
        <w:t> </w:t>
      </w:r>
      <w:r>
        <w:rPr/>
        <w:t>të</w:t>
      </w:r>
      <w:r>
        <w:rPr>
          <w:spacing w:val="-5"/>
        </w:rPr>
        <w:t> </w:t>
      </w:r>
      <w:r>
        <w:rPr/>
        <w:t>barabartë</w:t>
      </w:r>
      <w:r>
        <w:rPr>
          <w:spacing w:val="-4"/>
        </w:rPr>
        <w:t> </w:t>
      </w:r>
      <w:r>
        <w:rPr/>
        <w:t>në</w:t>
      </w:r>
      <w:r>
        <w:rPr>
          <w:spacing w:val="-4"/>
        </w:rPr>
        <w:t> </w:t>
      </w:r>
      <w:r>
        <w:rPr/>
        <w:t>burimet</w:t>
      </w:r>
      <w:r>
        <w:rPr>
          <w:spacing w:val="-4"/>
        </w:rPr>
        <w:t> </w:t>
      </w:r>
      <w:r>
        <w:rPr/>
        <w:t>financiare</w:t>
      </w:r>
      <w:r>
        <w:rPr>
          <w:spacing w:val="-4"/>
        </w:rPr>
        <w:t> </w:t>
      </w:r>
      <w:r>
        <w:rPr>
          <w:spacing w:val="-2"/>
        </w:rPr>
        <w:t>npërmërmjet:</w:t>
      </w:r>
    </w:p>
    <w:p>
      <w:pPr>
        <w:pStyle w:val="BodyText"/>
        <w:spacing w:before="10"/>
        <w:rPr>
          <w:sz w:val="20"/>
        </w:rPr>
      </w:pPr>
    </w:p>
    <w:p>
      <w:pPr>
        <w:pStyle w:val="ListParagraph"/>
        <w:numPr>
          <w:ilvl w:val="0"/>
          <w:numId w:val="4"/>
        </w:numPr>
        <w:tabs>
          <w:tab w:pos="839" w:val="left" w:leader="none"/>
          <w:tab w:pos="840" w:val="left" w:leader="none"/>
        </w:tabs>
        <w:spacing w:line="240" w:lineRule="auto" w:before="0" w:after="0"/>
        <w:ind w:left="119" w:right="103" w:hanging="3"/>
        <w:jc w:val="both"/>
        <w:rPr>
          <w:sz w:val="24"/>
        </w:rPr>
      </w:pPr>
      <w:bookmarkStart w:name="- Krijimit të mekanizmave për të garantu" w:id="61"/>
      <w:bookmarkEnd w:id="61"/>
      <w:r>
        <w:rPr>
          <w:sz w:val="24"/>
        </w:rPr>
        <w:t>K</w:t>
      </w:r>
      <w:r>
        <w:rPr>
          <w:sz w:val="24"/>
        </w:rPr>
        <w:t>rijimit</w:t>
      </w:r>
      <w:r>
        <w:rPr>
          <w:spacing w:val="-10"/>
          <w:sz w:val="24"/>
        </w:rPr>
        <w:t> </w:t>
      </w:r>
      <w:r>
        <w:rPr>
          <w:sz w:val="24"/>
        </w:rPr>
        <w:t>të</w:t>
      </w:r>
      <w:r>
        <w:rPr>
          <w:spacing w:val="-12"/>
          <w:sz w:val="24"/>
        </w:rPr>
        <w:t> </w:t>
      </w:r>
      <w:r>
        <w:rPr>
          <w:sz w:val="24"/>
        </w:rPr>
        <w:t>mekanizmave</w:t>
      </w:r>
      <w:r>
        <w:rPr>
          <w:spacing w:val="-12"/>
          <w:sz w:val="24"/>
        </w:rPr>
        <w:t> </w:t>
      </w:r>
      <w:r>
        <w:rPr>
          <w:sz w:val="24"/>
        </w:rPr>
        <w:t>për</w:t>
      </w:r>
      <w:r>
        <w:rPr>
          <w:spacing w:val="-11"/>
          <w:sz w:val="24"/>
        </w:rPr>
        <w:t> </w:t>
      </w:r>
      <w:r>
        <w:rPr>
          <w:sz w:val="24"/>
        </w:rPr>
        <w:t>të</w:t>
      </w:r>
      <w:r>
        <w:rPr>
          <w:spacing w:val="-9"/>
          <w:sz w:val="24"/>
        </w:rPr>
        <w:t> </w:t>
      </w:r>
      <w:r>
        <w:rPr>
          <w:sz w:val="24"/>
        </w:rPr>
        <w:t>garantuar</w:t>
      </w:r>
      <w:r>
        <w:rPr>
          <w:spacing w:val="-11"/>
          <w:sz w:val="24"/>
        </w:rPr>
        <w:t> </w:t>
      </w:r>
      <w:r>
        <w:rPr>
          <w:sz w:val="24"/>
        </w:rPr>
        <w:t>një</w:t>
      </w:r>
      <w:r>
        <w:rPr>
          <w:spacing w:val="-9"/>
          <w:sz w:val="24"/>
        </w:rPr>
        <w:t> </w:t>
      </w:r>
      <w:r>
        <w:rPr>
          <w:sz w:val="24"/>
        </w:rPr>
        <w:t>akses</w:t>
      </w:r>
      <w:r>
        <w:rPr>
          <w:spacing w:val="-7"/>
          <w:sz w:val="24"/>
        </w:rPr>
        <w:t> </w:t>
      </w:r>
      <w:r>
        <w:rPr>
          <w:sz w:val="24"/>
        </w:rPr>
        <w:t>të</w:t>
      </w:r>
      <w:r>
        <w:rPr>
          <w:spacing w:val="-11"/>
          <w:sz w:val="24"/>
        </w:rPr>
        <w:t> </w:t>
      </w:r>
      <w:r>
        <w:rPr>
          <w:sz w:val="24"/>
        </w:rPr>
        <w:t>barabartë</w:t>
      </w:r>
      <w:r>
        <w:rPr>
          <w:spacing w:val="-8"/>
          <w:sz w:val="24"/>
        </w:rPr>
        <w:t> </w:t>
      </w:r>
      <w:r>
        <w:rPr>
          <w:sz w:val="24"/>
        </w:rPr>
        <w:t>të</w:t>
      </w:r>
      <w:r>
        <w:rPr>
          <w:spacing w:val="-11"/>
          <w:sz w:val="24"/>
        </w:rPr>
        <w:t> </w:t>
      </w:r>
      <w:r>
        <w:rPr>
          <w:sz w:val="24"/>
        </w:rPr>
        <w:t>kandidatëve</w:t>
      </w:r>
      <w:r>
        <w:rPr>
          <w:spacing w:val="-11"/>
          <w:sz w:val="24"/>
        </w:rPr>
        <w:t> </w:t>
      </w:r>
      <w:r>
        <w:rPr>
          <w:sz w:val="24"/>
        </w:rPr>
        <w:t>(burra dhe gra, pavarësisht nga pozicioni i tyre në listën e kandidatëve) në fondet publike gjatë fushatës zgjedhore.</w:t>
      </w:r>
    </w:p>
    <w:p>
      <w:pPr>
        <w:pStyle w:val="BodyText"/>
        <w:spacing w:before="8"/>
        <w:rPr>
          <w:sz w:val="20"/>
        </w:rPr>
      </w:pPr>
    </w:p>
    <w:p>
      <w:pPr>
        <w:pStyle w:val="ListParagraph"/>
        <w:numPr>
          <w:ilvl w:val="0"/>
          <w:numId w:val="4"/>
        </w:numPr>
        <w:tabs>
          <w:tab w:pos="839" w:val="left" w:leader="none"/>
          <w:tab w:pos="840" w:val="left" w:leader="none"/>
        </w:tabs>
        <w:spacing w:line="240" w:lineRule="auto" w:before="0" w:after="0"/>
        <w:ind w:left="119" w:right="106" w:hanging="3"/>
        <w:jc w:val="both"/>
        <w:rPr>
          <w:sz w:val="24"/>
        </w:rPr>
      </w:pPr>
      <w:bookmarkStart w:name="- Krijimi të politikave të brendshme që " w:id="62"/>
      <w:bookmarkEnd w:id="62"/>
      <w:r>
        <w:rPr>
          <w:sz w:val="24"/>
        </w:rPr>
        <w:t>K</w:t>
      </w:r>
      <w:r>
        <w:rPr>
          <w:sz w:val="24"/>
        </w:rPr>
        <w:t>rijimi</w:t>
      </w:r>
      <w:r>
        <w:rPr>
          <w:spacing w:val="-13"/>
          <w:sz w:val="24"/>
        </w:rPr>
        <w:t> </w:t>
      </w:r>
      <w:r>
        <w:rPr>
          <w:sz w:val="24"/>
        </w:rPr>
        <w:t>të</w:t>
      </w:r>
      <w:r>
        <w:rPr>
          <w:spacing w:val="-14"/>
          <w:sz w:val="24"/>
        </w:rPr>
        <w:t> </w:t>
      </w:r>
      <w:r>
        <w:rPr>
          <w:sz w:val="24"/>
        </w:rPr>
        <w:t>politikave</w:t>
      </w:r>
      <w:r>
        <w:rPr>
          <w:spacing w:val="-14"/>
          <w:sz w:val="24"/>
        </w:rPr>
        <w:t> </w:t>
      </w:r>
      <w:r>
        <w:rPr>
          <w:sz w:val="24"/>
        </w:rPr>
        <w:t>të</w:t>
      </w:r>
      <w:r>
        <w:rPr>
          <w:spacing w:val="-14"/>
          <w:sz w:val="24"/>
        </w:rPr>
        <w:t> </w:t>
      </w:r>
      <w:r>
        <w:rPr>
          <w:sz w:val="24"/>
        </w:rPr>
        <w:t>brendshme</w:t>
      </w:r>
      <w:r>
        <w:rPr>
          <w:spacing w:val="-14"/>
          <w:sz w:val="24"/>
        </w:rPr>
        <w:t> </w:t>
      </w:r>
      <w:r>
        <w:rPr>
          <w:sz w:val="24"/>
        </w:rPr>
        <w:t>që</w:t>
      </w:r>
      <w:r>
        <w:rPr>
          <w:spacing w:val="-14"/>
          <w:sz w:val="24"/>
        </w:rPr>
        <w:t> </w:t>
      </w:r>
      <w:r>
        <w:rPr>
          <w:sz w:val="24"/>
        </w:rPr>
        <w:t>garantojnë</w:t>
      </w:r>
      <w:r>
        <w:rPr>
          <w:spacing w:val="-14"/>
          <w:sz w:val="24"/>
        </w:rPr>
        <w:t> </w:t>
      </w:r>
      <w:r>
        <w:rPr>
          <w:sz w:val="24"/>
        </w:rPr>
        <w:t>barazi</w:t>
      </w:r>
      <w:r>
        <w:rPr>
          <w:spacing w:val="-13"/>
          <w:sz w:val="24"/>
        </w:rPr>
        <w:t> </w:t>
      </w:r>
      <w:r>
        <w:rPr>
          <w:sz w:val="24"/>
        </w:rPr>
        <w:t>gjinore</w:t>
      </w:r>
      <w:r>
        <w:rPr>
          <w:spacing w:val="-14"/>
          <w:sz w:val="24"/>
        </w:rPr>
        <w:t> </w:t>
      </w:r>
      <w:r>
        <w:rPr>
          <w:sz w:val="24"/>
        </w:rPr>
        <w:t>dhe</w:t>
      </w:r>
      <w:r>
        <w:rPr>
          <w:spacing w:val="-14"/>
          <w:sz w:val="24"/>
        </w:rPr>
        <w:t> </w:t>
      </w:r>
      <w:r>
        <w:rPr>
          <w:sz w:val="24"/>
        </w:rPr>
        <w:t>akses</w:t>
      </w:r>
      <w:r>
        <w:rPr>
          <w:spacing w:val="-13"/>
          <w:sz w:val="24"/>
        </w:rPr>
        <w:t> </w:t>
      </w:r>
      <w:r>
        <w:rPr>
          <w:sz w:val="24"/>
        </w:rPr>
        <w:t>të</w:t>
      </w:r>
      <w:r>
        <w:rPr>
          <w:spacing w:val="-13"/>
          <w:sz w:val="24"/>
        </w:rPr>
        <w:t> </w:t>
      </w:r>
      <w:r>
        <w:rPr>
          <w:sz w:val="24"/>
        </w:rPr>
        <w:t>barabartë në burime, veçanërisht gjatë fushatave zgjedhore.</w:t>
      </w:r>
    </w:p>
    <w:p>
      <w:pPr>
        <w:pStyle w:val="BodyText"/>
        <w:spacing w:before="3"/>
        <w:rPr>
          <w:sz w:val="21"/>
        </w:rPr>
      </w:pPr>
    </w:p>
    <w:p>
      <w:pPr>
        <w:spacing w:before="0"/>
        <w:ind w:left="120" w:right="103" w:hanging="3"/>
        <w:jc w:val="both"/>
        <w:rPr>
          <w:b/>
          <w:sz w:val="24"/>
        </w:rPr>
      </w:pPr>
      <w:bookmarkStart w:name="UMe synim përfaqësimin e interesave poli" w:id="63"/>
      <w:bookmarkEnd w:id="63"/>
      <w:r>
        <w:rPr/>
      </w:r>
      <w:r>
        <w:rPr>
          <w:b/>
          <w:sz w:val="24"/>
          <w:u w:val="single"/>
        </w:rPr>
        <w:t>Me synim përfaqësimin e interesave politikë të zgjedhësve nga kandidatë banues në</w:t>
      </w:r>
      <w:r>
        <w:rPr>
          <w:b/>
          <w:sz w:val="24"/>
        </w:rPr>
        <w:t> </w:t>
      </w:r>
      <w:r>
        <w:rPr>
          <w:b/>
          <w:sz w:val="24"/>
          <w:u w:val="single"/>
        </w:rPr>
        <w:t>zonën përkatëse zgjedhore, i sugjerojmë subjekteve zgjedhore përfshirjen në lista të</w:t>
      </w:r>
      <w:r>
        <w:rPr>
          <w:b/>
          <w:sz w:val="24"/>
        </w:rPr>
        <w:t> </w:t>
      </w:r>
      <w:r>
        <w:rPr>
          <w:b/>
          <w:sz w:val="24"/>
          <w:u w:val="single"/>
        </w:rPr>
        <w:t>kandidatëve</w:t>
      </w:r>
      <w:r>
        <w:rPr>
          <w:b/>
          <w:spacing w:val="69"/>
          <w:sz w:val="24"/>
          <w:u w:val="single"/>
        </w:rPr>
        <w:t> </w:t>
      </w:r>
      <w:r>
        <w:rPr>
          <w:b/>
          <w:sz w:val="24"/>
          <w:u w:val="single"/>
        </w:rPr>
        <w:t>për</w:t>
      </w:r>
      <w:r>
        <w:rPr>
          <w:b/>
          <w:spacing w:val="71"/>
          <w:sz w:val="24"/>
          <w:u w:val="single"/>
        </w:rPr>
        <w:t> </w:t>
      </w:r>
      <w:r>
        <w:rPr>
          <w:b/>
          <w:sz w:val="24"/>
          <w:u w:val="single"/>
        </w:rPr>
        <w:t>kryetar</w:t>
      </w:r>
      <w:r>
        <w:rPr>
          <w:b/>
          <w:spacing w:val="71"/>
          <w:sz w:val="24"/>
          <w:u w:val="single"/>
        </w:rPr>
        <w:t> </w:t>
      </w:r>
      <w:r>
        <w:rPr>
          <w:b/>
          <w:sz w:val="24"/>
          <w:u w:val="single"/>
        </w:rPr>
        <w:t>bashkie,</w:t>
      </w:r>
      <w:r>
        <w:rPr>
          <w:b/>
          <w:spacing w:val="72"/>
          <w:sz w:val="24"/>
          <w:u w:val="single"/>
        </w:rPr>
        <w:t> </w:t>
      </w:r>
      <w:r>
        <w:rPr>
          <w:b/>
          <w:sz w:val="24"/>
          <w:u w:val="single"/>
        </w:rPr>
        <w:t>pjesë</w:t>
      </w:r>
      <w:r>
        <w:rPr>
          <w:b/>
          <w:spacing w:val="71"/>
          <w:sz w:val="24"/>
          <w:u w:val="single"/>
        </w:rPr>
        <w:t> </w:t>
      </w:r>
      <w:r>
        <w:rPr>
          <w:b/>
          <w:sz w:val="24"/>
          <w:u w:val="single"/>
        </w:rPr>
        <w:t>e</w:t>
      </w:r>
      <w:r>
        <w:rPr>
          <w:b/>
          <w:spacing w:val="71"/>
          <w:sz w:val="24"/>
          <w:u w:val="single"/>
        </w:rPr>
        <w:t> </w:t>
      </w:r>
      <w:r>
        <w:rPr>
          <w:b/>
          <w:sz w:val="24"/>
          <w:u w:val="single"/>
        </w:rPr>
        <w:t>Bashkisë,</w:t>
      </w:r>
      <w:r>
        <w:rPr>
          <w:b/>
          <w:spacing w:val="72"/>
          <w:sz w:val="24"/>
          <w:u w:val="single"/>
        </w:rPr>
        <w:t> </w:t>
      </w:r>
      <w:r>
        <w:rPr>
          <w:b/>
          <w:sz w:val="24"/>
          <w:u w:val="single"/>
        </w:rPr>
        <w:t>përpara</w:t>
      </w:r>
      <w:r>
        <w:rPr>
          <w:b/>
          <w:spacing w:val="72"/>
          <w:sz w:val="24"/>
          <w:u w:val="single"/>
        </w:rPr>
        <w:t> </w:t>
      </w:r>
      <w:r>
        <w:rPr>
          <w:b/>
          <w:sz w:val="24"/>
          <w:u w:val="single"/>
        </w:rPr>
        <w:t>kandidimit.</w:t>
      </w:r>
      <w:r>
        <w:rPr>
          <w:b/>
          <w:spacing w:val="70"/>
          <w:sz w:val="24"/>
          <w:u w:val="single"/>
        </w:rPr>
        <w:t> </w:t>
      </w:r>
      <w:r>
        <w:rPr>
          <w:b/>
          <w:sz w:val="24"/>
          <w:u w:val="single"/>
        </w:rPr>
        <w:t>I</w:t>
      </w:r>
      <w:r>
        <w:rPr>
          <w:b/>
          <w:spacing w:val="72"/>
          <w:sz w:val="24"/>
          <w:u w:val="single"/>
        </w:rPr>
        <w:t> </w:t>
      </w:r>
      <w:r>
        <w:rPr>
          <w:b/>
          <w:sz w:val="24"/>
          <w:u w:val="single"/>
        </w:rPr>
        <w:t>njëjti</w:t>
      </w:r>
    </w:p>
    <w:p>
      <w:pPr>
        <w:spacing w:after="0"/>
        <w:jc w:val="both"/>
        <w:rPr>
          <w:sz w:val="24"/>
        </w:rPr>
        <w:sectPr>
          <w:pgSz w:w="11910" w:h="16850"/>
          <w:pgMar w:header="600" w:footer="0" w:top="2100" w:bottom="280" w:left="1500" w:right="1360"/>
        </w:sectPr>
      </w:pPr>
    </w:p>
    <w:p>
      <w:pPr>
        <w:spacing w:before="4"/>
        <w:ind w:left="120" w:right="103" w:firstLine="0"/>
        <w:jc w:val="both"/>
        <w:rPr>
          <w:b/>
          <w:sz w:val="24"/>
        </w:rPr>
      </w:pPr>
      <w:r>
        <w:rPr>
          <w:b/>
          <w:sz w:val="24"/>
          <w:u w:val="single"/>
        </w:rPr>
        <w:t>rekomandim</w:t>
      </w:r>
      <w:r>
        <w:rPr>
          <w:b/>
          <w:sz w:val="24"/>
          <w:u w:val="single"/>
        </w:rPr>
        <w:t> vlen edhe për kandidatët</w:t>
      </w:r>
      <w:r>
        <w:rPr>
          <w:b/>
          <w:sz w:val="24"/>
          <w:u w:val="single"/>
        </w:rPr>
        <w:t> për këshilltarë</w:t>
      </w:r>
      <w:r>
        <w:rPr>
          <w:b/>
          <w:sz w:val="24"/>
          <w:u w:val="single"/>
        </w:rPr>
        <w:t> bashkiakë, të cilët duhet</w:t>
      </w:r>
      <w:r>
        <w:rPr>
          <w:b/>
          <w:sz w:val="24"/>
          <w:u w:val="single"/>
        </w:rPr>
        <w:t> të</w:t>
      </w:r>
      <w:r>
        <w:rPr>
          <w:b/>
          <w:sz w:val="24"/>
        </w:rPr>
        <w:t> </w:t>
      </w:r>
      <w:r>
        <w:rPr>
          <w:b/>
          <w:sz w:val="24"/>
          <w:u w:val="single"/>
        </w:rPr>
        <w:t>reflektojnë në databazën online të KQZ-së, zonën aktuale të banimit.</w:t>
      </w:r>
    </w:p>
    <w:p>
      <w:pPr>
        <w:pStyle w:val="BodyText"/>
        <w:spacing w:before="5"/>
        <w:rPr>
          <w:b/>
          <w:sz w:val="20"/>
        </w:rPr>
      </w:pPr>
    </w:p>
    <w:p>
      <w:pPr>
        <w:pStyle w:val="BodyText"/>
        <w:ind w:left="119" w:right="103" w:hanging="3"/>
        <w:jc w:val="both"/>
      </w:pPr>
      <w:bookmarkStart w:name="Për pasjen e një demokracie funksionale " w:id="64"/>
      <w:bookmarkEnd w:id="64"/>
      <w:r>
        <w:rPr/>
      </w:r>
      <w:r>
        <w:rPr/>
        <w:t>Për pasjen e</w:t>
      </w:r>
      <w:r>
        <w:rPr>
          <w:spacing w:val="-1"/>
        </w:rPr>
        <w:t> </w:t>
      </w:r>
      <w:r>
        <w:rPr/>
        <w:t>një</w:t>
      </w:r>
      <w:r>
        <w:rPr>
          <w:spacing w:val="-1"/>
        </w:rPr>
        <w:t> </w:t>
      </w:r>
      <w:r>
        <w:rPr/>
        <w:t>demokracie</w:t>
      </w:r>
      <w:r>
        <w:rPr>
          <w:spacing w:val="-1"/>
        </w:rPr>
        <w:t> </w:t>
      </w:r>
      <w:r>
        <w:rPr/>
        <w:t>funksionale</w:t>
      </w:r>
      <w:r>
        <w:rPr>
          <w:spacing w:val="-1"/>
        </w:rPr>
        <w:t> </w:t>
      </w:r>
      <w:r>
        <w:rPr/>
        <w:t>dhe</w:t>
      </w:r>
      <w:r>
        <w:rPr>
          <w:spacing w:val="-1"/>
        </w:rPr>
        <w:t> </w:t>
      </w:r>
      <w:r>
        <w:rPr/>
        <w:t>llogaridhënëse gjithëpërfshirja e</w:t>
      </w:r>
      <w:r>
        <w:rPr>
          <w:spacing w:val="-1"/>
        </w:rPr>
        <w:t> </w:t>
      </w:r>
      <w:r>
        <w:rPr/>
        <w:t>grupmoshave të ndryshme në proceset elektorale mbetet synim sfidues. Partitë politike duhet të krijojnë një</w:t>
      </w:r>
      <w:r>
        <w:rPr>
          <w:spacing w:val="-3"/>
        </w:rPr>
        <w:t> </w:t>
      </w:r>
      <w:r>
        <w:rPr/>
        <w:t>mjedis</w:t>
      </w:r>
      <w:r>
        <w:rPr>
          <w:spacing w:val="-2"/>
        </w:rPr>
        <w:t> </w:t>
      </w:r>
      <w:r>
        <w:rPr/>
        <w:t>më</w:t>
      </w:r>
      <w:r>
        <w:rPr>
          <w:spacing w:val="-3"/>
        </w:rPr>
        <w:t> </w:t>
      </w:r>
      <w:r>
        <w:rPr/>
        <w:t>të</w:t>
      </w:r>
      <w:r>
        <w:rPr>
          <w:spacing w:val="-3"/>
        </w:rPr>
        <w:t> </w:t>
      </w:r>
      <w:r>
        <w:rPr/>
        <w:t>hapur</w:t>
      </w:r>
      <w:r>
        <w:rPr>
          <w:spacing w:val="-3"/>
        </w:rPr>
        <w:t> </w:t>
      </w:r>
      <w:r>
        <w:rPr/>
        <w:t>dhe</w:t>
      </w:r>
      <w:r>
        <w:rPr>
          <w:spacing w:val="-3"/>
        </w:rPr>
        <w:t> </w:t>
      </w:r>
      <w:r>
        <w:rPr/>
        <w:t>konkurues</w:t>
      </w:r>
      <w:r>
        <w:rPr>
          <w:spacing w:val="-2"/>
        </w:rPr>
        <w:t> </w:t>
      </w:r>
      <w:r>
        <w:rPr/>
        <w:t>për</w:t>
      </w:r>
      <w:r>
        <w:rPr>
          <w:spacing w:val="-3"/>
        </w:rPr>
        <w:t> </w:t>
      </w:r>
      <w:r>
        <w:rPr/>
        <w:t>të</w:t>
      </w:r>
      <w:r>
        <w:rPr>
          <w:spacing w:val="-3"/>
        </w:rPr>
        <w:t> </w:t>
      </w:r>
      <w:r>
        <w:rPr/>
        <w:t>rinjtë,</w:t>
      </w:r>
      <w:r>
        <w:rPr>
          <w:spacing w:val="-2"/>
        </w:rPr>
        <w:t> </w:t>
      </w:r>
      <w:r>
        <w:rPr/>
        <w:t>simpatizantë</w:t>
      </w:r>
      <w:r>
        <w:rPr>
          <w:spacing w:val="-3"/>
        </w:rPr>
        <w:t> </w:t>
      </w:r>
      <w:r>
        <w:rPr/>
        <w:t>të</w:t>
      </w:r>
      <w:r>
        <w:rPr>
          <w:spacing w:val="-3"/>
        </w:rPr>
        <w:t> </w:t>
      </w:r>
      <w:r>
        <w:rPr/>
        <w:t>subjekteve</w:t>
      </w:r>
      <w:r>
        <w:rPr>
          <w:spacing w:val="-3"/>
        </w:rPr>
        <w:t> </w:t>
      </w:r>
      <w:r>
        <w:rPr/>
        <w:t>zgjedhore,</w:t>
      </w:r>
      <w:r>
        <w:rPr>
          <w:spacing w:val="-2"/>
        </w:rPr>
        <w:t> </w:t>
      </w:r>
      <w:r>
        <w:rPr/>
        <w:t>në mënyrë që të rrisin besimin e zgjedhësve të rinj, si dhe të harmonizojnë programet politike me pritshmëritë e vizionet e të rinjve.</w:t>
      </w:r>
    </w:p>
    <w:p>
      <w:pPr>
        <w:pStyle w:val="BodyText"/>
        <w:spacing w:before="10"/>
        <w:rPr>
          <w:sz w:val="20"/>
        </w:rPr>
      </w:pPr>
    </w:p>
    <w:p>
      <w:pPr>
        <w:pStyle w:val="BodyText"/>
        <w:ind w:left="119" w:right="101" w:hanging="3"/>
        <w:jc w:val="both"/>
      </w:pPr>
      <w:bookmarkStart w:name="Një aspket me rëndësi të vecantë është d" w:id="65"/>
      <w:bookmarkEnd w:id="65"/>
      <w:r>
        <w:rPr/>
      </w:r>
      <w:r>
        <w:rPr/>
        <w:t>Një</w:t>
      </w:r>
      <w:r>
        <w:rPr>
          <w:spacing w:val="-3"/>
        </w:rPr>
        <w:t> </w:t>
      </w:r>
      <w:r>
        <w:rPr/>
        <w:t>aspket</w:t>
      </w:r>
      <w:r>
        <w:rPr>
          <w:spacing w:val="-2"/>
        </w:rPr>
        <w:t> </w:t>
      </w:r>
      <w:r>
        <w:rPr/>
        <w:t>me</w:t>
      </w:r>
      <w:r>
        <w:rPr>
          <w:spacing w:val="-1"/>
        </w:rPr>
        <w:t> </w:t>
      </w:r>
      <w:r>
        <w:rPr/>
        <w:t>rëndësi</w:t>
      </w:r>
      <w:r>
        <w:rPr>
          <w:spacing w:val="-2"/>
        </w:rPr>
        <w:t> </w:t>
      </w:r>
      <w:r>
        <w:rPr/>
        <w:t>të</w:t>
      </w:r>
      <w:r>
        <w:rPr>
          <w:spacing w:val="-1"/>
        </w:rPr>
        <w:t> </w:t>
      </w:r>
      <w:r>
        <w:rPr/>
        <w:t>vecantë</w:t>
      </w:r>
      <w:r>
        <w:rPr>
          <w:spacing w:val="-1"/>
        </w:rPr>
        <w:t> </w:t>
      </w:r>
      <w:r>
        <w:rPr/>
        <w:t>është</w:t>
      </w:r>
      <w:r>
        <w:rPr>
          <w:spacing w:val="-3"/>
        </w:rPr>
        <w:t> </w:t>
      </w:r>
      <w:r>
        <w:rPr/>
        <w:t>dhe</w:t>
      </w:r>
      <w:r>
        <w:rPr>
          <w:spacing w:val="-1"/>
        </w:rPr>
        <w:t> </w:t>
      </w:r>
      <w:r>
        <w:rPr/>
        <w:t>garantimi</w:t>
      </w:r>
      <w:r>
        <w:rPr>
          <w:spacing w:val="-2"/>
        </w:rPr>
        <w:t> </w:t>
      </w:r>
      <w:r>
        <w:rPr/>
        <w:t>i</w:t>
      </w:r>
      <w:r>
        <w:rPr>
          <w:spacing w:val="-2"/>
        </w:rPr>
        <w:t> </w:t>
      </w:r>
      <w:r>
        <w:rPr/>
        <w:t>llogaridhënies</w:t>
      </w:r>
      <w:r>
        <w:rPr>
          <w:spacing w:val="-2"/>
        </w:rPr>
        <w:t> </w:t>
      </w:r>
      <w:r>
        <w:rPr/>
        <w:t>dhe</w:t>
      </w:r>
      <w:r>
        <w:rPr>
          <w:spacing w:val="-3"/>
        </w:rPr>
        <w:t> </w:t>
      </w:r>
      <w:r>
        <w:rPr/>
        <w:t>transparencës</w:t>
      </w:r>
      <w:r>
        <w:rPr>
          <w:spacing w:val="-2"/>
        </w:rPr>
        <w:t> </w:t>
      </w:r>
      <w:r>
        <w:rPr/>
        <w:t>dhe zbatimi i rregulloreve dhe mekanizmave të informimit dhe monitorimit që sigurojnë transparencë dhe llogaridhënie në menaxhimin e financave politike, si dhe</w:t>
      </w:r>
      <w:r>
        <w:rPr>
          <w:spacing w:val="40"/>
        </w:rPr>
        <w:t> </w:t>
      </w:r>
      <w:r>
        <w:rPr/>
        <w:t>sigurimi dhe shpërndarja</w:t>
      </w:r>
      <w:r>
        <w:rPr>
          <w:spacing w:val="-12"/>
        </w:rPr>
        <w:t> </w:t>
      </w:r>
      <w:r>
        <w:rPr/>
        <w:t>e</w:t>
      </w:r>
      <w:r>
        <w:rPr>
          <w:spacing w:val="-14"/>
        </w:rPr>
        <w:t> </w:t>
      </w:r>
      <w:r>
        <w:rPr/>
        <w:t>informacionit</w:t>
      </w:r>
      <w:r>
        <w:rPr>
          <w:spacing w:val="-12"/>
        </w:rPr>
        <w:t> </w:t>
      </w:r>
      <w:r>
        <w:rPr/>
        <w:t>gjithëpërfshirës</w:t>
      </w:r>
      <w:r>
        <w:rPr>
          <w:spacing w:val="-13"/>
        </w:rPr>
        <w:t> </w:t>
      </w:r>
      <w:r>
        <w:rPr/>
        <w:t>për</w:t>
      </w:r>
      <w:r>
        <w:rPr>
          <w:spacing w:val="-14"/>
        </w:rPr>
        <w:t> </w:t>
      </w:r>
      <w:r>
        <w:rPr/>
        <w:t>kandidatët</w:t>
      </w:r>
      <w:r>
        <w:rPr>
          <w:spacing w:val="-13"/>
        </w:rPr>
        <w:t> </w:t>
      </w:r>
      <w:r>
        <w:rPr/>
        <w:t>dhe</w:t>
      </w:r>
      <w:r>
        <w:rPr>
          <w:spacing w:val="-14"/>
        </w:rPr>
        <w:t> </w:t>
      </w:r>
      <w:r>
        <w:rPr/>
        <w:t>publikun</w:t>
      </w:r>
      <w:r>
        <w:rPr>
          <w:spacing w:val="-13"/>
        </w:rPr>
        <w:t> </w:t>
      </w:r>
      <w:r>
        <w:rPr/>
        <w:t>mbi</w:t>
      </w:r>
      <w:r>
        <w:rPr>
          <w:spacing w:val="-13"/>
        </w:rPr>
        <w:t> </w:t>
      </w:r>
      <w:r>
        <w:rPr/>
        <w:t>përdorimin</w:t>
      </w:r>
      <w:r>
        <w:rPr>
          <w:spacing w:val="-13"/>
        </w:rPr>
        <w:t> </w:t>
      </w:r>
      <w:r>
        <w:rPr/>
        <w:t>dhe shpërndarjen e financave publike gjatë fushatave elektorale.</w:t>
      </w:r>
    </w:p>
    <w:p>
      <w:pPr>
        <w:pStyle w:val="BodyText"/>
        <w:spacing w:before="3"/>
        <w:rPr>
          <w:sz w:val="21"/>
        </w:rPr>
      </w:pPr>
    </w:p>
    <w:p>
      <w:pPr>
        <w:spacing w:before="0"/>
        <w:ind w:left="117" w:right="0" w:firstLine="0"/>
        <w:jc w:val="both"/>
        <w:rPr>
          <w:b/>
          <w:sz w:val="24"/>
        </w:rPr>
      </w:pPr>
      <w:bookmarkStart w:name="UOrganizatat partnere nënshkruese (rendi" w:id="66"/>
      <w:bookmarkEnd w:id="66"/>
      <w:r>
        <w:rPr/>
      </w:r>
      <w:r>
        <w:rPr>
          <w:b/>
          <w:sz w:val="24"/>
          <w:u w:val="single"/>
        </w:rPr>
        <w:t>Organizatat</w:t>
      </w:r>
      <w:r>
        <w:rPr>
          <w:b/>
          <w:spacing w:val="-8"/>
          <w:sz w:val="24"/>
          <w:u w:val="single"/>
        </w:rPr>
        <w:t> </w:t>
      </w:r>
      <w:r>
        <w:rPr>
          <w:b/>
          <w:sz w:val="24"/>
          <w:u w:val="single"/>
        </w:rPr>
        <w:t>partnere</w:t>
      </w:r>
      <w:r>
        <w:rPr>
          <w:b/>
          <w:spacing w:val="-8"/>
          <w:sz w:val="24"/>
          <w:u w:val="single"/>
        </w:rPr>
        <w:t> </w:t>
      </w:r>
      <w:r>
        <w:rPr>
          <w:b/>
          <w:sz w:val="24"/>
          <w:u w:val="single"/>
        </w:rPr>
        <w:t>nënshkruese</w:t>
      </w:r>
      <w:r>
        <w:rPr>
          <w:b/>
          <w:spacing w:val="-8"/>
          <w:sz w:val="24"/>
          <w:u w:val="single"/>
        </w:rPr>
        <w:t> </w:t>
      </w:r>
      <w:r>
        <w:rPr>
          <w:b/>
          <w:sz w:val="24"/>
          <w:u w:val="single"/>
        </w:rPr>
        <w:t>(renditur</w:t>
      </w:r>
      <w:r>
        <w:rPr>
          <w:b/>
          <w:spacing w:val="-8"/>
          <w:sz w:val="24"/>
          <w:u w:val="single"/>
        </w:rPr>
        <w:t> </w:t>
      </w:r>
      <w:r>
        <w:rPr>
          <w:b/>
          <w:sz w:val="24"/>
          <w:u w:val="single"/>
        </w:rPr>
        <w:t>sipas</w:t>
      </w:r>
      <w:r>
        <w:rPr>
          <w:b/>
          <w:spacing w:val="-7"/>
          <w:sz w:val="24"/>
          <w:u w:val="single"/>
        </w:rPr>
        <w:t> </w:t>
      </w:r>
      <w:r>
        <w:rPr>
          <w:b/>
          <w:sz w:val="24"/>
          <w:u w:val="single"/>
        </w:rPr>
        <w:t>rendit</w:t>
      </w:r>
      <w:r>
        <w:rPr>
          <w:b/>
          <w:spacing w:val="-9"/>
          <w:sz w:val="24"/>
          <w:u w:val="single"/>
        </w:rPr>
        <w:t> </w:t>
      </w:r>
      <w:r>
        <w:rPr>
          <w:b/>
          <w:spacing w:val="-2"/>
          <w:sz w:val="24"/>
          <w:u w:val="single"/>
        </w:rPr>
        <w:t>alfabetik):</w:t>
      </w:r>
    </w:p>
    <w:p>
      <w:pPr>
        <w:pStyle w:val="BodyText"/>
        <w:spacing w:before="10"/>
        <w:rPr>
          <w:b/>
          <w:sz w:val="20"/>
        </w:rPr>
      </w:pPr>
    </w:p>
    <w:p>
      <w:pPr>
        <w:pStyle w:val="ListParagraph"/>
        <w:numPr>
          <w:ilvl w:val="0"/>
          <w:numId w:val="5"/>
        </w:numPr>
        <w:tabs>
          <w:tab w:pos="839" w:val="left" w:leader="none"/>
          <w:tab w:pos="840" w:val="left" w:leader="none"/>
        </w:tabs>
        <w:spacing w:line="240" w:lineRule="auto" w:before="1" w:after="0"/>
        <w:ind w:left="840" w:right="0" w:hanging="723"/>
        <w:jc w:val="left"/>
        <w:rPr>
          <w:b/>
          <w:sz w:val="24"/>
        </w:rPr>
      </w:pPr>
      <w:bookmarkStart w:name="1. UAkademia e Studimeve Politike (ASP)" w:id="67"/>
      <w:bookmarkEnd w:id="67"/>
      <w:r>
        <w:rPr>
          <w:b/>
          <w:sz w:val="24"/>
          <w:u w:val="single"/>
        </w:rPr>
        <w:t>A</w:t>
      </w:r>
      <w:r>
        <w:rPr>
          <w:b/>
          <w:sz w:val="24"/>
          <w:u w:val="single"/>
        </w:rPr>
        <w:t>kademia</w:t>
      </w:r>
      <w:r>
        <w:rPr>
          <w:b/>
          <w:spacing w:val="-12"/>
          <w:sz w:val="24"/>
          <w:u w:val="single"/>
        </w:rPr>
        <w:t> </w:t>
      </w:r>
      <w:r>
        <w:rPr>
          <w:b/>
          <w:sz w:val="24"/>
          <w:u w:val="single"/>
        </w:rPr>
        <w:t>e</w:t>
      </w:r>
      <w:r>
        <w:rPr>
          <w:b/>
          <w:spacing w:val="-12"/>
          <w:sz w:val="24"/>
          <w:u w:val="single"/>
        </w:rPr>
        <w:t> </w:t>
      </w:r>
      <w:r>
        <w:rPr>
          <w:b/>
          <w:sz w:val="24"/>
          <w:u w:val="single"/>
        </w:rPr>
        <w:t>Studimeve</w:t>
      </w:r>
      <w:r>
        <w:rPr>
          <w:b/>
          <w:spacing w:val="-11"/>
          <w:sz w:val="24"/>
          <w:u w:val="single"/>
        </w:rPr>
        <w:t> </w:t>
      </w:r>
      <w:r>
        <w:rPr>
          <w:b/>
          <w:sz w:val="24"/>
          <w:u w:val="single"/>
        </w:rPr>
        <w:t>Politike</w:t>
      </w:r>
      <w:r>
        <w:rPr>
          <w:b/>
          <w:spacing w:val="-11"/>
          <w:sz w:val="24"/>
          <w:u w:val="single"/>
        </w:rPr>
        <w:t> </w:t>
      </w:r>
      <w:r>
        <w:rPr>
          <w:b/>
          <w:spacing w:val="-4"/>
          <w:sz w:val="24"/>
          <w:u w:val="single"/>
        </w:rPr>
        <w:t>(ASP)</w:t>
      </w:r>
    </w:p>
    <w:p>
      <w:pPr>
        <w:pStyle w:val="ListParagraph"/>
        <w:numPr>
          <w:ilvl w:val="0"/>
          <w:numId w:val="5"/>
        </w:numPr>
        <w:tabs>
          <w:tab w:pos="839" w:val="left" w:leader="none"/>
          <w:tab w:pos="840" w:val="left" w:leader="none"/>
        </w:tabs>
        <w:spacing w:line="240" w:lineRule="auto" w:before="0" w:after="0"/>
        <w:ind w:left="840" w:right="0" w:hanging="723"/>
        <w:jc w:val="left"/>
        <w:rPr>
          <w:b/>
          <w:sz w:val="24"/>
        </w:rPr>
      </w:pPr>
      <w:bookmarkStart w:name="2. UInstituti i Studimeve Politike (ISP)" w:id="68"/>
      <w:bookmarkEnd w:id="68"/>
      <w:r>
        <w:rPr>
          <w:b/>
          <w:sz w:val="24"/>
          <w:u w:val="single"/>
        </w:rPr>
        <w:t>I</w:t>
      </w:r>
      <w:r>
        <w:rPr>
          <w:b/>
          <w:sz w:val="24"/>
          <w:u w:val="single"/>
        </w:rPr>
        <w:t>nstituti</w:t>
      </w:r>
      <w:r>
        <w:rPr>
          <w:b/>
          <w:spacing w:val="-11"/>
          <w:sz w:val="24"/>
          <w:u w:val="single"/>
        </w:rPr>
        <w:t> </w:t>
      </w:r>
      <w:r>
        <w:rPr>
          <w:b/>
          <w:sz w:val="24"/>
          <w:u w:val="single"/>
        </w:rPr>
        <w:t>i</w:t>
      </w:r>
      <w:r>
        <w:rPr>
          <w:b/>
          <w:spacing w:val="-10"/>
          <w:sz w:val="24"/>
          <w:u w:val="single"/>
        </w:rPr>
        <w:t> </w:t>
      </w:r>
      <w:r>
        <w:rPr>
          <w:b/>
          <w:sz w:val="24"/>
          <w:u w:val="single"/>
        </w:rPr>
        <w:t>Studimeve</w:t>
      </w:r>
      <w:r>
        <w:rPr>
          <w:b/>
          <w:spacing w:val="-10"/>
          <w:sz w:val="24"/>
          <w:u w:val="single"/>
        </w:rPr>
        <w:t> </w:t>
      </w:r>
      <w:r>
        <w:rPr>
          <w:b/>
          <w:sz w:val="24"/>
          <w:u w:val="single"/>
        </w:rPr>
        <w:t>Politike</w:t>
      </w:r>
      <w:r>
        <w:rPr>
          <w:b/>
          <w:spacing w:val="-11"/>
          <w:sz w:val="24"/>
          <w:u w:val="single"/>
        </w:rPr>
        <w:t> </w:t>
      </w:r>
      <w:r>
        <w:rPr>
          <w:b/>
          <w:spacing w:val="-4"/>
          <w:sz w:val="24"/>
          <w:u w:val="single"/>
        </w:rPr>
        <w:t>(ISP)</w:t>
      </w:r>
    </w:p>
    <w:p>
      <w:pPr>
        <w:pStyle w:val="ListParagraph"/>
        <w:numPr>
          <w:ilvl w:val="0"/>
          <w:numId w:val="5"/>
        </w:numPr>
        <w:tabs>
          <w:tab w:pos="839" w:val="left" w:leader="none"/>
          <w:tab w:pos="840" w:val="left" w:leader="none"/>
        </w:tabs>
        <w:spacing w:line="240" w:lineRule="auto" w:before="0" w:after="0"/>
        <w:ind w:left="840" w:right="0" w:hanging="723"/>
        <w:jc w:val="left"/>
        <w:rPr>
          <w:b/>
          <w:sz w:val="24"/>
        </w:rPr>
      </w:pPr>
      <w:bookmarkStart w:name="3. UKomiteti Shqiptar i Helsinkit (KShH)" w:id="69"/>
      <w:bookmarkEnd w:id="69"/>
      <w:r>
        <w:rPr/>
      </w:r>
      <w:bookmarkStart w:name="4. UQëndresa Qytetare" w:id="70"/>
      <w:bookmarkEnd w:id="70"/>
      <w:r>
        <w:rPr>
          <w:b/>
          <w:sz w:val="24"/>
          <w:u w:val="single"/>
        </w:rPr>
        <w:t>K</w:t>
      </w:r>
      <w:r>
        <w:rPr>
          <w:b/>
          <w:sz w:val="24"/>
          <w:u w:val="single"/>
        </w:rPr>
        <w:t>omiteti</w:t>
      </w:r>
      <w:r>
        <w:rPr>
          <w:b/>
          <w:spacing w:val="-7"/>
          <w:sz w:val="24"/>
          <w:u w:val="single"/>
        </w:rPr>
        <w:t> </w:t>
      </w:r>
      <w:r>
        <w:rPr>
          <w:b/>
          <w:sz w:val="24"/>
          <w:u w:val="single"/>
        </w:rPr>
        <w:t>Shqiptar</w:t>
      </w:r>
      <w:r>
        <w:rPr>
          <w:b/>
          <w:spacing w:val="-8"/>
          <w:sz w:val="24"/>
          <w:u w:val="single"/>
        </w:rPr>
        <w:t> </w:t>
      </w:r>
      <w:r>
        <w:rPr>
          <w:b/>
          <w:sz w:val="24"/>
          <w:u w:val="single"/>
        </w:rPr>
        <w:t>i</w:t>
      </w:r>
      <w:r>
        <w:rPr>
          <w:b/>
          <w:spacing w:val="-8"/>
          <w:sz w:val="24"/>
          <w:u w:val="single"/>
        </w:rPr>
        <w:t> </w:t>
      </w:r>
      <w:r>
        <w:rPr>
          <w:b/>
          <w:sz w:val="24"/>
          <w:u w:val="single"/>
        </w:rPr>
        <w:t>Helsinkit</w:t>
      </w:r>
      <w:r>
        <w:rPr>
          <w:b/>
          <w:spacing w:val="-7"/>
          <w:sz w:val="24"/>
          <w:u w:val="single"/>
        </w:rPr>
        <w:t> </w:t>
      </w:r>
      <w:r>
        <w:rPr>
          <w:b/>
          <w:spacing w:val="-2"/>
          <w:sz w:val="24"/>
          <w:u w:val="single"/>
        </w:rPr>
        <w:t>(KShH)</w:t>
      </w:r>
    </w:p>
    <w:p>
      <w:pPr>
        <w:pStyle w:val="ListParagraph"/>
        <w:numPr>
          <w:ilvl w:val="0"/>
          <w:numId w:val="5"/>
        </w:numPr>
        <w:tabs>
          <w:tab w:pos="839" w:val="left" w:leader="none"/>
          <w:tab w:pos="840" w:val="left" w:leader="none"/>
        </w:tabs>
        <w:spacing w:line="240" w:lineRule="auto" w:before="0" w:after="0"/>
        <w:ind w:left="840" w:right="0" w:hanging="723"/>
        <w:jc w:val="left"/>
        <w:rPr>
          <w:b/>
          <w:sz w:val="24"/>
        </w:rPr>
      </w:pPr>
      <w:bookmarkStart w:name="5. URrjeti i Grave “Barazi në Vendimmarr" w:id="71"/>
      <w:bookmarkEnd w:id="71"/>
      <w:r>
        <w:rPr>
          <w:b/>
          <w:sz w:val="24"/>
          <w:u w:val="single"/>
        </w:rPr>
        <w:t>Q</w:t>
      </w:r>
      <w:r>
        <w:rPr>
          <w:b/>
          <w:sz w:val="24"/>
          <w:u w:val="single"/>
        </w:rPr>
        <w:t>ëndresa</w:t>
      </w:r>
      <w:r>
        <w:rPr>
          <w:b/>
          <w:spacing w:val="-9"/>
          <w:sz w:val="24"/>
          <w:u w:val="single"/>
        </w:rPr>
        <w:t> </w:t>
      </w:r>
      <w:r>
        <w:rPr>
          <w:b/>
          <w:spacing w:val="-2"/>
          <w:sz w:val="24"/>
          <w:u w:val="single"/>
        </w:rPr>
        <w:t>Qytetare</w:t>
      </w:r>
    </w:p>
    <w:p>
      <w:pPr>
        <w:pStyle w:val="ListParagraph"/>
        <w:numPr>
          <w:ilvl w:val="0"/>
          <w:numId w:val="5"/>
        </w:numPr>
        <w:tabs>
          <w:tab w:pos="839" w:val="left" w:leader="none"/>
          <w:tab w:pos="840" w:val="left" w:leader="none"/>
        </w:tabs>
        <w:spacing w:line="240" w:lineRule="auto" w:before="0" w:after="0"/>
        <w:ind w:left="840" w:right="0" w:hanging="723"/>
        <w:jc w:val="left"/>
        <w:rPr>
          <w:b/>
          <w:sz w:val="24"/>
        </w:rPr>
      </w:pPr>
      <w:r>
        <w:rPr>
          <w:b/>
          <w:sz w:val="24"/>
          <w:u w:val="single"/>
        </w:rPr>
        <w:t>Rrjeti</w:t>
      </w:r>
      <w:r>
        <w:rPr>
          <w:b/>
          <w:spacing w:val="-7"/>
          <w:sz w:val="24"/>
          <w:u w:val="single"/>
        </w:rPr>
        <w:t> </w:t>
      </w:r>
      <w:r>
        <w:rPr>
          <w:b/>
          <w:sz w:val="24"/>
          <w:u w:val="single"/>
        </w:rPr>
        <w:t>i</w:t>
      </w:r>
      <w:r>
        <w:rPr>
          <w:b/>
          <w:spacing w:val="-6"/>
          <w:sz w:val="24"/>
          <w:u w:val="single"/>
        </w:rPr>
        <w:t> </w:t>
      </w:r>
      <w:r>
        <w:rPr>
          <w:b/>
          <w:sz w:val="24"/>
          <w:u w:val="single"/>
        </w:rPr>
        <w:t>Grave</w:t>
      </w:r>
      <w:r>
        <w:rPr>
          <w:b/>
          <w:spacing w:val="-7"/>
          <w:sz w:val="24"/>
          <w:u w:val="single"/>
        </w:rPr>
        <w:t> </w:t>
      </w:r>
      <w:r>
        <w:rPr>
          <w:b/>
          <w:sz w:val="24"/>
          <w:u w:val="single"/>
        </w:rPr>
        <w:t>“Barazi</w:t>
      </w:r>
      <w:r>
        <w:rPr>
          <w:b/>
          <w:spacing w:val="-4"/>
          <w:sz w:val="24"/>
          <w:u w:val="single"/>
        </w:rPr>
        <w:t> </w:t>
      </w:r>
      <w:r>
        <w:rPr>
          <w:b/>
          <w:sz w:val="24"/>
          <w:u w:val="single"/>
        </w:rPr>
        <w:t>në</w:t>
      </w:r>
      <w:r>
        <w:rPr>
          <w:b/>
          <w:spacing w:val="-6"/>
          <w:sz w:val="24"/>
          <w:u w:val="single"/>
        </w:rPr>
        <w:t> </w:t>
      </w:r>
      <w:r>
        <w:rPr>
          <w:b/>
          <w:spacing w:val="-2"/>
          <w:sz w:val="24"/>
          <w:u w:val="single"/>
        </w:rPr>
        <w:t>Vendimmarrje”</w:t>
      </w:r>
    </w:p>
    <w:sectPr>
      <w:pgSz w:w="11910" w:h="16850"/>
      <w:pgMar w:header="600" w:footer="0" w:top="2100" w:bottom="280" w:left="1500" w:right="1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Segoe UI Symbol">
    <w:altName w:val="Segoe UI Symbol"/>
    <w:charset w:val="1"/>
    <w:family w:val="swiss"/>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7445504">
          <wp:simplePos x="0" y="0"/>
          <wp:positionH relativeFrom="page">
            <wp:posOffset>2148718</wp:posOffset>
          </wp:positionH>
          <wp:positionV relativeFrom="page">
            <wp:posOffset>380987</wp:posOffset>
          </wp:positionV>
          <wp:extent cx="931445" cy="741675"/>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1" cstate="print"/>
                  <a:stretch>
                    <a:fillRect/>
                  </a:stretch>
                </pic:blipFill>
                <pic:spPr>
                  <a:xfrm>
                    <a:off x="0" y="0"/>
                    <a:ext cx="931445" cy="741675"/>
                  </a:xfrm>
                  <a:prstGeom prst="rect">
                    <a:avLst/>
                  </a:prstGeom>
                </pic:spPr>
              </pic:pic>
            </a:graphicData>
          </a:graphic>
        </wp:anchor>
      </w:drawing>
    </w:r>
    <w:r>
      <w:rPr/>
      <w:drawing>
        <wp:anchor distT="0" distB="0" distL="0" distR="0" allowOverlap="1" layoutInCell="1" locked="0" behindDoc="1" simplePos="0" relativeHeight="487446016">
          <wp:simplePos x="0" y="0"/>
          <wp:positionH relativeFrom="page">
            <wp:posOffset>1144775</wp:posOffset>
          </wp:positionH>
          <wp:positionV relativeFrom="page">
            <wp:posOffset>495678</wp:posOffset>
          </wp:positionV>
          <wp:extent cx="739685" cy="48558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2" cstate="print"/>
                  <a:stretch>
                    <a:fillRect/>
                  </a:stretch>
                </pic:blipFill>
                <pic:spPr>
                  <a:xfrm>
                    <a:off x="0" y="0"/>
                    <a:ext cx="739685" cy="485585"/>
                  </a:xfrm>
                  <a:prstGeom prst="rect">
                    <a:avLst/>
                  </a:prstGeom>
                </pic:spPr>
              </pic:pic>
            </a:graphicData>
          </a:graphic>
        </wp:anchor>
      </w:drawing>
    </w:r>
    <w:r>
      <w:rPr/>
      <w:drawing>
        <wp:anchor distT="0" distB="0" distL="0" distR="0" allowOverlap="1" layoutInCell="1" locked="0" behindDoc="1" simplePos="0" relativeHeight="487446528">
          <wp:simplePos x="0" y="0"/>
          <wp:positionH relativeFrom="page">
            <wp:posOffset>6086475</wp:posOffset>
          </wp:positionH>
          <wp:positionV relativeFrom="page">
            <wp:posOffset>522592</wp:posOffset>
          </wp:positionV>
          <wp:extent cx="719442" cy="599996"/>
          <wp:effectExtent l="0" t="0" r="0" b="0"/>
          <wp:wrapNone/>
          <wp:docPr id="5" name="image3.jpeg"/>
          <wp:cNvGraphicFramePr>
            <a:graphicFrameLocks noChangeAspect="1"/>
          </wp:cNvGraphicFramePr>
          <a:graphic>
            <a:graphicData uri="http://schemas.openxmlformats.org/drawingml/2006/picture">
              <pic:pic>
                <pic:nvPicPr>
                  <pic:cNvPr id="6" name="image3.jpeg"/>
                  <pic:cNvPicPr/>
                </pic:nvPicPr>
                <pic:blipFill>
                  <a:blip r:embed="rId3" cstate="print"/>
                  <a:stretch>
                    <a:fillRect/>
                  </a:stretch>
                </pic:blipFill>
                <pic:spPr>
                  <a:xfrm>
                    <a:off x="0" y="0"/>
                    <a:ext cx="719442" cy="599996"/>
                  </a:xfrm>
                  <a:prstGeom prst="rect">
                    <a:avLst/>
                  </a:prstGeom>
                </pic:spPr>
              </pic:pic>
            </a:graphicData>
          </a:graphic>
        </wp:anchor>
      </w:drawing>
    </w:r>
    <w:r>
      <w:rPr/>
      <w:drawing>
        <wp:anchor distT="0" distB="0" distL="0" distR="0" allowOverlap="1" layoutInCell="1" locked="0" behindDoc="1" simplePos="0" relativeHeight="487447040">
          <wp:simplePos x="0" y="0"/>
          <wp:positionH relativeFrom="page">
            <wp:posOffset>4991100</wp:posOffset>
          </wp:positionH>
          <wp:positionV relativeFrom="page">
            <wp:posOffset>542912</wp:posOffset>
          </wp:positionV>
          <wp:extent cx="923277" cy="342896"/>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4" cstate="print"/>
                  <a:stretch>
                    <a:fillRect/>
                  </a:stretch>
                </pic:blipFill>
                <pic:spPr>
                  <a:xfrm>
                    <a:off x="0" y="0"/>
                    <a:ext cx="923277" cy="342896"/>
                  </a:xfrm>
                  <a:prstGeom prst="rect">
                    <a:avLst/>
                  </a:prstGeom>
                </pic:spPr>
              </pic:pic>
            </a:graphicData>
          </a:graphic>
        </wp:anchor>
      </w:drawing>
    </w:r>
    <w:r>
      <w:rPr/>
      <w:drawing>
        <wp:anchor distT="0" distB="0" distL="0" distR="0" allowOverlap="1" layoutInCell="1" locked="0" behindDoc="1" simplePos="0" relativeHeight="487447552">
          <wp:simplePos x="0" y="0"/>
          <wp:positionH relativeFrom="page">
            <wp:posOffset>3231741</wp:posOffset>
          </wp:positionH>
          <wp:positionV relativeFrom="page">
            <wp:posOffset>584327</wp:posOffset>
          </wp:positionV>
          <wp:extent cx="1630188" cy="292480"/>
          <wp:effectExtent l="0" t="0" r="0" b="0"/>
          <wp:wrapNone/>
          <wp:docPr id="9" name="image5.jpeg"/>
          <wp:cNvGraphicFramePr>
            <a:graphicFrameLocks noChangeAspect="1"/>
          </wp:cNvGraphicFramePr>
          <a:graphic>
            <a:graphicData uri="http://schemas.openxmlformats.org/drawingml/2006/picture">
              <pic:pic>
                <pic:nvPicPr>
                  <pic:cNvPr id="10" name="image5.jpeg"/>
                  <pic:cNvPicPr/>
                </pic:nvPicPr>
                <pic:blipFill>
                  <a:blip r:embed="rId5" cstate="print"/>
                  <a:stretch>
                    <a:fillRect/>
                  </a:stretch>
                </pic:blipFill>
                <pic:spPr>
                  <a:xfrm>
                    <a:off x="0" y="0"/>
                    <a:ext cx="1630188" cy="292480"/>
                  </a:xfrm>
                  <a:prstGeom prst="rect">
                    <a:avLst/>
                  </a:prstGeom>
                </pic:spPr>
              </pic:pic>
            </a:graphicData>
          </a:graphic>
        </wp:anchor>
      </w:drawing>
    </w:r>
    <w:r>
      <w:rPr/>
      <w:pict>
        <v:rect style="position:absolute;margin-left:252pt;margin-top:104.879974pt;width:219.72pt;height:.72pt;mso-position-horizontal-relative:page;mso-position-vertical-relative:page;z-index:-15868416" id="docshape1" filled="true" fillcolor="#000000" stroked="false">
          <v:fill type="solid"/>
          <w10:wrap type="none"/>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1"/>
      <w:numFmt w:val="decimal"/>
      <w:lvlText w:val="%1."/>
      <w:lvlJc w:val="left"/>
      <w:pPr>
        <w:ind w:left="840" w:hanging="723"/>
        <w:jc w:val="left"/>
      </w:pPr>
      <w:rPr>
        <w:rFonts w:hint="default" w:ascii="Times New Roman" w:hAnsi="Times New Roman" w:eastAsia="Times New Roman" w:cs="Times New Roman"/>
        <w:b/>
        <w:bCs/>
        <w:i w:val="0"/>
        <w:iCs w:val="0"/>
        <w:w w:val="100"/>
        <w:sz w:val="24"/>
        <w:szCs w:val="24"/>
        <w:lang w:val="sq-AL" w:eastAsia="en-US" w:bidi="ar-SA"/>
      </w:rPr>
    </w:lvl>
    <w:lvl w:ilvl="1">
      <w:start w:val="0"/>
      <w:numFmt w:val="bullet"/>
      <w:lvlText w:val="•"/>
      <w:lvlJc w:val="left"/>
      <w:pPr>
        <w:ind w:left="1660" w:hanging="723"/>
      </w:pPr>
      <w:rPr>
        <w:rFonts w:hint="default"/>
        <w:lang w:val="sq-AL" w:eastAsia="en-US" w:bidi="ar-SA"/>
      </w:rPr>
    </w:lvl>
    <w:lvl w:ilvl="2">
      <w:start w:val="0"/>
      <w:numFmt w:val="bullet"/>
      <w:lvlText w:val="•"/>
      <w:lvlJc w:val="left"/>
      <w:pPr>
        <w:ind w:left="2481" w:hanging="723"/>
      </w:pPr>
      <w:rPr>
        <w:rFonts w:hint="default"/>
        <w:lang w:val="sq-AL" w:eastAsia="en-US" w:bidi="ar-SA"/>
      </w:rPr>
    </w:lvl>
    <w:lvl w:ilvl="3">
      <w:start w:val="0"/>
      <w:numFmt w:val="bullet"/>
      <w:lvlText w:val="•"/>
      <w:lvlJc w:val="left"/>
      <w:pPr>
        <w:ind w:left="3301" w:hanging="723"/>
      </w:pPr>
      <w:rPr>
        <w:rFonts w:hint="default"/>
        <w:lang w:val="sq-AL" w:eastAsia="en-US" w:bidi="ar-SA"/>
      </w:rPr>
    </w:lvl>
    <w:lvl w:ilvl="4">
      <w:start w:val="0"/>
      <w:numFmt w:val="bullet"/>
      <w:lvlText w:val="•"/>
      <w:lvlJc w:val="left"/>
      <w:pPr>
        <w:ind w:left="4122" w:hanging="723"/>
      </w:pPr>
      <w:rPr>
        <w:rFonts w:hint="default"/>
        <w:lang w:val="sq-AL" w:eastAsia="en-US" w:bidi="ar-SA"/>
      </w:rPr>
    </w:lvl>
    <w:lvl w:ilvl="5">
      <w:start w:val="0"/>
      <w:numFmt w:val="bullet"/>
      <w:lvlText w:val="•"/>
      <w:lvlJc w:val="left"/>
      <w:pPr>
        <w:ind w:left="4943" w:hanging="723"/>
      </w:pPr>
      <w:rPr>
        <w:rFonts w:hint="default"/>
        <w:lang w:val="sq-AL" w:eastAsia="en-US" w:bidi="ar-SA"/>
      </w:rPr>
    </w:lvl>
    <w:lvl w:ilvl="6">
      <w:start w:val="0"/>
      <w:numFmt w:val="bullet"/>
      <w:lvlText w:val="•"/>
      <w:lvlJc w:val="left"/>
      <w:pPr>
        <w:ind w:left="5763" w:hanging="723"/>
      </w:pPr>
      <w:rPr>
        <w:rFonts w:hint="default"/>
        <w:lang w:val="sq-AL" w:eastAsia="en-US" w:bidi="ar-SA"/>
      </w:rPr>
    </w:lvl>
    <w:lvl w:ilvl="7">
      <w:start w:val="0"/>
      <w:numFmt w:val="bullet"/>
      <w:lvlText w:val="•"/>
      <w:lvlJc w:val="left"/>
      <w:pPr>
        <w:ind w:left="6584" w:hanging="723"/>
      </w:pPr>
      <w:rPr>
        <w:rFonts w:hint="default"/>
        <w:lang w:val="sq-AL" w:eastAsia="en-US" w:bidi="ar-SA"/>
      </w:rPr>
    </w:lvl>
    <w:lvl w:ilvl="8">
      <w:start w:val="0"/>
      <w:numFmt w:val="bullet"/>
      <w:lvlText w:val="•"/>
      <w:lvlJc w:val="left"/>
      <w:pPr>
        <w:ind w:left="7405" w:hanging="723"/>
      </w:pPr>
      <w:rPr>
        <w:rFonts w:hint="default"/>
        <w:lang w:val="sq-AL" w:eastAsia="en-US" w:bidi="ar-SA"/>
      </w:rPr>
    </w:lvl>
  </w:abstractNum>
  <w:abstractNum w:abstractNumId="3">
    <w:multiLevelType w:val="hybridMultilevel"/>
    <w:lvl w:ilvl="0">
      <w:start w:val="0"/>
      <w:numFmt w:val="bullet"/>
      <w:lvlText w:val="-"/>
      <w:lvlJc w:val="left"/>
      <w:pPr>
        <w:ind w:left="120" w:hanging="723"/>
      </w:pPr>
      <w:rPr>
        <w:rFonts w:hint="default" w:ascii="Times New Roman" w:hAnsi="Times New Roman" w:eastAsia="Times New Roman" w:cs="Times New Roman"/>
        <w:b w:val="0"/>
        <w:bCs w:val="0"/>
        <w:i w:val="0"/>
        <w:iCs w:val="0"/>
        <w:w w:val="99"/>
        <w:sz w:val="24"/>
        <w:szCs w:val="24"/>
        <w:lang w:val="sq-AL" w:eastAsia="en-US" w:bidi="ar-SA"/>
      </w:rPr>
    </w:lvl>
    <w:lvl w:ilvl="1">
      <w:start w:val="0"/>
      <w:numFmt w:val="bullet"/>
      <w:lvlText w:val="•"/>
      <w:lvlJc w:val="left"/>
      <w:pPr>
        <w:ind w:left="1012" w:hanging="723"/>
      </w:pPr>
      <w:rPr>
        <w:rFonts w:hint="default"/>
        <w:lang w:val="sq-AL" w:eastAsia="en-US" w:bidi="ar-SA"/>
      </w:rPr>
    </w:lvl>
    <w:lvl w:ilvl="2">
      <w:start w:val="0"/>
      <w:numFmt w:val="bullet"/>
      <w:lvlText w:val="•"/>
      <w:lvlJc w:val="left"/>
      <w:pPr>
        <w:ind w:left="1905" w:hanging="723"/>
      </w:pPr>
      <w:rPr>
        <w:rFonts w:hint="default"/>
        <w:lang w:val="sq-AL" w:eastAsia="en-US" w:bidi="ar-SA"/>
      </w:rPr>
    </w:lvl>
    <w:lvl w:ilvl="3">
      <w:start w:val="0"/>
      <w:numFmt w:val="bullet"/>
      <w:lvlText w:val="•"/>
      <w:lvlJc w:val="left"/>
      <w:pPr>
        <w:ind w:left="2797" w:hanging="723"/>
      </w:pPr>
      <w:rPr>
        <w:rFonts w:hint="default"/>
        <w:lang w:val="sq-AL" w:eastAsia="en-US" w:bidi="ar-SA"/>
      </w:rPr>
    </w:lvl>
    <w:lvl w:ilvl="4">
      <w:start w:val="0"/>
      <w:numFmt w:val="bullet"/>
      <w:lvlText w:val="•"/>
      <w:lvlJc w:val="left"/>
      <w:pPr>
        <w:ind w:left="3690" w:hanging="723"/>
      </w:pPr>
      <w:rPr>
        <w:rFonts w:hint="default"/>
        <w:lang w:val="sq-AL" w:eastAsia="en-US" w:bidi="ar-SA"/>
      </w:rPr>
    </w:lvl>
    <w:lvl w:ilvl="5">
      <w:start w:val="0"/>
      <w:numFmt w:val="bullet"/>
      <w:lvlText w:val="•"/>
      <w:lvlJc w:val="left"/>
      <w:pPr>
        <w:ind w:left="4583" w:hanging="723"/>
      </w:pPr>
      <w:rPr>
        <w:rFonts w:hint="default"/>
        <w:lang w:val="sq-AL" w:eastAsia="en-US" w:bidi="ar-SA"/>
      </w:rPr>
    </w:lvl>
    <w:lvl w:ilvl="6">
      <w:start w:val="0"/>
      <w:numFmt w:val="bullet"/>
      <w:lvlText w:val="•"/>
      <w:lvlJc w:val="left"/>
      <w:pPr>
        <w:ind w:left="5475" w:hanging="723"/>
      </w:pPr>
      <w:rPr>
        <w:rFonts w:hint="default"/>
        <w:lang w:val="sq-AL" w:eastAsia="en-US" w:bidi="ar-SA"/>
      </w:rPr>
    </w:lvl>
    <w:lvl w:ilvl="7">
      <w:start w:val="0"/>
      <w:numFmt w:val="bullet"/>
      <w:lvlText w:val="•"/>
      <w:lvlJc w:val="left"/>
      <w:pPr>
        <w:ind w:left="6368" w:hanging="723"/>
      </w:pPr>
      <w:rPr>
        <w:rFonts w:hint="default"/>
        <w:lang w:val="sq-AL" w:eastAsia="en-US" w:bidi="ar-SA"/>
      </w:rPr>
    </w:lvl>
    <w:lvl w:ilvl="8">
      <w:start w:val="0"/>
      <w:numFmt w:val="bullet"/>
      <w:lvlText w:val="•"/>
      <w:lvlJc w:val="left"/>
      <w:pPr>
        <w:ind w:left="7261" w:hanging="723"/>
      </w:pPr>
      <w:rPr>
        <w:rFonts w:hint="default"/>
        <w:lang w:val="sq-AL" w:eastAsia="en-US" w:bidi="ar-SA"/>
      </w:rPr>
    </w:lvl>
  </w:abstractNum>
  <w:abstractNum w:abstractNumId="2">
    <w:multiLevelType w:val="hybridMultilevel"/>
    <w:lvl w:ilvl="0">
      <w:start w:val="0"/>
      <w:numFmt w:val="bullet"/>
      <w:lvlText w:val="➔"/>
      <w:lvlJc w:val="left"/>
      <w:pPr>
        <w:ind w:left="840" w:hanging="723"/>
      </w:pPr>
      <w:rPr>
        <w:rFonts w:hint="default" w:ascii="Segoe UI Symbol" w:hAnsi="Segoe UI Symbol" w:eastAsia="Segoe UI Symbol" w:cs="Segoe UI Symbol"/>
        <w:b w:val="0"/>
        <w:bCs w:val="0"/>
        <w:i w:val="0"/>
        <w:iCs w:val="0"/>
        <w:w w:val="100"/>
        <w:position w:val="-3"/>
        <w:sz w:val="24"/>
        <w:szCs w:val="24"/>
        <w:lang w:val="sq-AL" w:eastAsia="en-US" w:bidi="ar-SA"/>
      </w:rPr>
    </w:lvl>
    <w:lvl w:ilvl="1">
      <w:start w:val="0"/>
      <w:numFmt w:val="bullet"/>
      <w:lvlText w:val="•"/>
      <w:lvlJc w:val="left"/>
      <w:pPr>
        <w:ind w:left="1660" w:hanging="723"/>
      </w:pPr>
      <w:rPr>
        <w:rFonts w:hint="default"/>
        <w:lang w:val="sq-AL" w:eastAsia="en-US" w:bidi="ar-SA"/>
      </w:rPr>
    </w:lvl>
    <w:lvl w:ilvl="2">
      <w:start w:val="0"/>
      <w:numFmt w:val="bullet"/>
      <w:lvlText w:val="•"/>
      <w:lvlJc w:val="left"/>
      <w:pPr>
        <w:ind w:left="2481" w:hanging="723"/>
      </w:pPr>
      <w:rPr>
        <w:rFonts w:hint="default"/>
        <w:lang w:val="sq-AL" w:eastAsia="en-US" w:bidi="ar-SA"/>
      </w:rPr>
    </w:lvl>
    <w:lvl w:ilvl="3">
      <w:start w:val="0"/>
      <w:numFmt w:val="bullet"/>
      <w:lvlText w:val="•"/>
      <w:lvlJc w:val="left"/>
      <w:pPr>
        <w:ind w:left="3301" w:hanging="723"/>
      </w:pPr>
      <w:rPr>
        <w:rFonts w:hint="default"/>
        <w:lang w:val="sq-AL" w:eastAsia="en-US" w:bidi="ar-SA"/>
      </w:rPr>
    </w:lvl>
    <w:lvl w:ilvl="4">
      <w:start w:val="0"/>
      <w:numFmt w:val="bullet"/>
      <w:lvlText w:val="•"/>
      <w:lvlJc w:val="left"/>
      <w:pPr>
        <w:ind w:left="4122" w:hanging="723"/>
      </w:pPr>
      <w:rPr>
        <w:rFonts w:hint="default"/>
        <w:lang w:val="sq-AL" w:eastAsia="en-US" w:bidi="ar-SA"/>
      </w:rPr>
    </w:lvl>
    <w:lvl w:ilvl="5">
      <w:start w:val="0"/>
      <w:numFmt w:val="bullet"/>
      <w:lvlText w:val="•"/>
      <w:lvlJc w:val="left"/>
      <w:pPr>
        <w:ind w:left="4943" w:hanging="723"/>
      </w:pPr>
      <w:rPr>
        <w:rFonts w:hint="default"/>
        <w:lang w:val="sq-AL" w:eastAsia="en-US" w:bidi="ar-SA"/>
      </w:rPr>
    </w:lvl>
    <w:lvl w:ilvl="6">
      <w:start w:val="0"/>
      <w:numFmt w:val="bullet"/>
      <w:lvlText w:val="•"/>
      <w:lvlJc w:val="left"/>
      <w:pPr>
        <w:ind w:left="5763" w:hanging="723"/>
      </w:pPr>
      <w:rPr>
        <w:rFonts w:hint="default"/>
        <w:lang w:val="sq-AL" w:eastAsia="en-US" w:bidi="ar-SA"/>
      </w:rPr>
    </w:lvl>
    <w:lvl w:ilvl="7">
      <w:start w:val="0"/>
      <w:numFmt w:val="bullet"/>
      <w:lvlText w:val="•"/>
      <w:lvlJc w:val="left"/>
      <w:pPr>
        <w:ind w:left="6584" w:hanging="723"/>
      </w:pPr>
      <w:rPr>
        <w:rFonts w:hint="default"/>
        <w:lang w:val="sq-AL" w:eastAsia="en-US" w:bidi="ar-SA"/>
      </w:rPr>
    </w:lvl>
    <w:lvl w:ilvl="8">
      <w:start w:val="0"/>
      <w:numFmt w:val="bullet"/>
      <w:lvlText w:val="•"/>
      <w:lvlJc w:val="left"/>
      <w:pPr>
        <w:ind w:left="7405" w:hanging="723"/>
      </w:pPr>
      <w:rPr>
        <w:rFonts w:hint="default"/>
        <w:lang w:val="sq-AL" w:eastAsia="en-US" w:bidi="ar-SA"/>
      </w:rPr>
    </w:lvl>
  </w:abstractNum>
  <w:abstractNum w:abstractNumId="1">
    <w:multiLevelType w:val="hybridMultilevel"/>
    <w:lvl w:ilvl="0">
      <w:start w:val="1"/>
      <w:numFmt w:val="lowerLetter"/>
      <w:lvlText w:val="%1)"/>
      <w:lvlJc w:val="left"/>
      <w:pPr>
        <w:ind w:left="120" w:hanging="723"/>
        <w:jc w:val="left"/>
      </w:pPr>
      <w:rPr>
        <w:rFonts w:hint="default" w:ascii="Times New Roman" w:hAnsi="Times New Roman" w:eastAsia="Times New Roman" w:cs="Times New Roman"/>
        <w:b w:val="0"/>
        <w:bCs w:val="0"/>
        <w:i w:val="0"/>
        <w:iCs w:val="0"/>
        <w:spacing w:val="-1"/>
        <w:w w:val="99"/>
        <w:sz w:val="24"/>
        <w:szCs w:val="24"/>
        <w:lang w:val="sq-AL" w:eastAsia="en-US" w:bidi="ar-SA"/>
      </w:rPr>
    </w:lvl>
    <w:lvl w:ilvl="1">
      <w:start w:val="0"/>
      <w:numFmt w:val="bullet"/>
      <w:lvlText w:val="•"/>
      <w:lvlJc w:val="left"/>
      <w:pPr>
        <w:ind w:left="1012" w:hanging="723"/>
      </w:pPr>
      <w:rPr>
        <w:rFonts w:hint="default"/>
        <w:lang w:val="sq-AL" w:eastAsia="en-US" w:bidi="ar-SA"/>
      </w:rPr>
    </w:lvl>
    <w:lvl w:ilvl="2">
      <w:start w:val="0"/>
      <w:numFmt w:val="bullet"/>
      <w:lvlText w:val="•"/>
      <w:lvlJc w:val="left"/>
      <w:pPr>
        <w:ind w:left="1905" w:hanging="723"/>
      </w:pPr>
      <w:rPr>
        <w:rFonts w:hint="default"/>
        <w:lang w:val="sq-AL" w:eastAsia="en-US" w:bidi="ar-SA"/>
      </w:rPr>
    </w:lvl>
    <w:lvl w:ilvl="3">
      <w:start w:val="0"/>
      <w:numFmt w:val="bullet"/>
      <w:lvlText w:val="•"/>
      <w:lvlJc w:val="left"/>
      <w:pPr>
        <w:ind w:left="2797" w:hanging="723"/>
      </w:pPr>
      <w:rPr>
        <w:rFonts w:hint="default"/>
        <w:lang w:val="sq-AL" w:eastAsia="en-US" w:bidi="ar-SA"/>
      </w:rPr>
    </w:lvl>
    <w:lvl w:ilvl="4">
      <w:start w:val="0"/>
      <w:numFmt w:val="bullet"/>
      <w:lvlText w:val="•"/>
      <w:lvlJc w:val="left"/>
      <w:pPr>
        <w:ind w:left="3690" w:hanging="723"/>
      </w:pPr>
      <w:rPr>
        <w:rFonts w:hint="default"/>
        <w:lang w:val="sq-AL" w:eastAsia="en-US" w:bidi="ar-SA"/>
      </w:rPr>
    </w:lvl>
    <w:lvl w:ilvl="5">
      <w:start w:val="0"/>
      <w:numFmt w:val="bullet"/>
      <w:lvlText w:val="•"/>
      <w:lvlJc w:val="left"/>
      <w:pPr>
        <w:ind w:left="4583" w:hanging="723"/>
      </w:pPr>
      <w:rPr>
        <w:rFonts w:hint="default"/>
        <w:lang w:val="sq-AL" w:eastAsia="en-US" w:bidi="ar-SA"/>
      </w:rPr>
    </w:lvl>
    <w:lvl w:ilvl="6">
      <w:start w:val="0"/>
      <w:numFmt w:val="bullet"/>
      <w:lvlText w:val="•"/>
      <w:lvlJc w:val="left"/>
      <w:pPr>
        <w:ind w:left="5475" w:hanging="723"/>
      </w:pPr>
      <w:rPr>
        <w:rFonts w:hint="default"/>
        <w:lang w:val="sq-AL" w:eastAsia="en-US" w:bidi="ar-SA"/>
      </w:rPr>
    </w:lvl>
    <w:lvl w:ilvl="7">
      <w:start w:val="0"/>
      <w:numFmt w:val="bullet"/>
      <w:lvlText w:val="•"/>
      <w:lvlJc w:val="left"/>
      <w:pPr>
        <w:ind w:left="6368" w:hanging="723"/>
      </w:pPr>
      <w:rPr>
        <w:rFonts w:hint="default"/>
        <w:lang w:val="sq-AL" w:eastAsia="en-US" w:bidi="ar-SA"/>
      </w:rPr>
    </w:lvl>
    <w:lvl w:ilvl="8">
      <w:start w:val="0"/>
      <w:numFmt w:val="bullet"/>
      <w:lvlText w:val="•"/>
      <w:lvlJc w:val="left"/>
      <w:pPr>
        <w:ind w:left="7261" w:hanging="723"/>
      </w:pPr>
      <w:rPr>
        <w:rFonts w:hint="default"/>
        <w:lang w:val="sq-AL" w:eastAsia="en-US" w:bidi="ar-SA"/>
      </w:rPr>
    </w:lvl>
  </w:abstractNum>
  <w:abstractNum w:abstractNumId="0">
    <w:multiLevelType w:val="hybridMultilevel"/>
    <w:lvl w:ilvl="0">
      <w:start w:val="0"/>
      <w:numFmt w:val="bullet"/>
      <w:lvlText w:val="➔"/>
      <w:lvlJc w:val="left"/>
      <w:pPr>
        <w:ind w:left="840" w:hanging="723"/>
      </w:pPr>
      <w:rPr>
        <w:rFonts w:hint="default" w:ascii="Segoe UI Symbol" w:hAnsi="Segoe UI Symbol" w:eastAsia="Segoe UI Symbol" w:cs="Segoe UI Symbol"/>
        <w:b w:val="0"/>
        <w:bCs w:val="0"/>
        <w:i w:val="0"/>
        <w:iCs w:val="0"/>
        <w:w w:val="100"/>
        <w:position w:val="-3"/>
        <w:sz w:val="24"/>
        <w:szCs w:val="24"/>
        <w:lang w:val="sq-AL" w:eastAsia="en-US" w:bidi="ar-SA"/>
      </w:rPr>
    </w:lvl>
    <w:lvl w:ilvl="1">
      <w:start w:val="0"/>
      <w:numFmt w:val="bullet"/>
      <w:lvlText w:val="•"/>
      <w:lvlJc w:val="left"/>
      <w:pPr>
        <w:ind w:left="1660" w:hanging="723"/>
      </w:pPr>
      <w:rPr>
        <w:rFonts w:hint="default"/>
        <w:lang w:val="sq-AL" w:eastAsia="en-US" w:bidi="ar-SA"/>
      </w:rPr>
    </w:lvl>
    <w:lvl w:ilvl="2">
      <w:start w:val="0"/>
      <w:numFmt w:val="bullet"/>
      <w:lvlText w:val="•"/>
      <w:lvlJc w:val="left"/>
      <w:pPr>
        <w:ind w:left="2481" w:hanging="723"/>
      </w:pPr>
      <w:rPr>
        <w:rFonts w:hint="default"/>
        <w:lang w:val="sq-AL" w:eastAsia="en-US" w:bidi="ar-SA"/>
      </w:rPr>
    </w:lvl>
    <w:lvl w:ilvl="3">
      <w:start w:val="0"/>
      <w:numFmt w:val="bullet"/>
      <w:lvlText w:val="•"/>
      <w:lvlJc w:val="left"/>
      <w:pPr>
        <w:ind w:left="3301" w:hanging="723"/>
      </w:pPr>
      <w:rPr>
        <w:rFonts w:hint="default"/>
        <w:lang w:val="sq-AL" w:eastAsia="en-US" w:bidi="ar-SA"/>
      </w:rPr>
    </w:lvl>
    <w:lvl w:ilvl="4">
      <w:start w:val="0"/>
      <w:numFmt w:val="bullet"/>
      <w:lvlText w:val="•"/>
      <w:lvlJc w:val="left"/>
      <w:pPr>
        <w:ind w:left="4122" w:hanging="723"/>
      </w:pPr>
      <w:rPr>
        <w:rFonts w:hint="default"/>
        <w:lang w:val="sq-AL" w:eastAsia="en-US" w:bidi="ar-SA"/>
      </w:rPr>
    </w:lvl>
    <w:lvl w:ilvl="5">
      <w:start w:val="0"/>
      <w:numFmt w:val="bullet"/>
      <w:lvlText w:val="•"/>
      <w:lvlJc w:val="left"/>
      <w:pPr>
        <w:ind w:left="4943" w:hanging="723"/>
      </w:pPr>
      <w:rPr>
        <w:rFonts w:hint="default"/>
        <w:lang w:val="sq-AL" w:eastAsia="en-US" w:bidi="ar-SA"/>
      </w:rPr>
    </w:lvl>
    <w:lvl w:ilvl="6">
      <w:start w:val="0"/>
      <w:numFmt w:val="bullet"/>
      <w:lvlText w:val="•"/>
      <w:lvlJc w:val="left"/>
      <w:pPr>
        <w:ind w:left="5763" w:hanging="723"/>
      </w:pPr>
      <w:rPr>
        <w:rFonts w:hint="default"/>
        <w:lang w:val="sq-AL" w:eastAsia="en-US" w:bidi="ar-SA"/>
      </w:rPr>
    </w:lvl>
    <w:lvl w:ilvl="7">
      <w:start w:val="0"/>
      <w:numFmt w:val="bullet"/>
      <w:lvlText w:val="•"/>
      <w:lvlJc w:val="left"/>
      <w:pPr>
        <w:ind w:left="6584" w:hanging="723"/>
      </w:pPr>
      <w:rPr>
        <w:rFonts w:hint="default"/>
        <w:lang w:val="sq-AL" w:eastAsia="en-US" w:bidi="ar-SA"/>
      </w:rPr>
    </w:lvl>
    <w:lvl w:ilvl="8">
      <w:start w:val="0"/>
      <w:numFmt w:val="bullet"/>
      <w:lvlText w:val="•"/>
      <w:lvlJc w:val="left"/>
      <w:pPr>
        <w:ind w:left="7405" w:hanging="723"/>
      </w:pPr>
      <w:rPr>
        <w:rFonts w:hint="default"/>
        <w:lang w:val="sq-AL" w:eastAsia="en-US" w:bidi="ar-SA"/>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sq-AL"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sq-AL" w:eastAsia="en-US" w:bidi="ar-SA"/>
    </w:rPr>
  </w:style>
  <w:style w:styleId="Heading1" w:type="paragraph">
    <w:name w:val="Heading 1"/>
    <w:basedOn w:val="Normal"/>
    <w:uiPriority w:val="1"/>
    <w:qFormat/>
    <w:pPr>
      <w:ind w:left="119" w:right="101" w:hanging="3"/>
      <w:jc w:val="both"/>
      <w:outlineLvl w:val="1"/>
    </w:pPr>
    <w:rPr>
      <w:rFonts w:ascii="Times New Roman" w:hAnsi="Times New Roman" w:eastAsia="Times New Roman" w:cs="Times New Roman"/>
      <w:b/>
      <w:bCs/>
      <w:i/>
      <w:iCs/>
      <w:sz w:val="24"/>
      <w:szCs w:val="24"/>
      <w:lang w:val="sq-AL" w:eastAsia="en-US" w:bidi="ar-SA"/>
    </w:rPr>
  </w:style>
  <w:style w:styleId="ListParagraph" w:type="paragraph">
    <w:name w:val="List Paragraph"/>
    <w:basedOn w:val="Normal"/>
    <w:uiPriority w:val="1"/>
    <w:qFormat/>
    <w:pPr>
      <w:ind w:left="840" w:hanging="723"/>
    </w:pPr>
    <w:rPr>
      <w:rFonts w:ascii="Times New Roman" w:hAnsi="Times New Roman" w:eastAsia="Times New Roman" w:cs="Times New Roman"/>
      <w:lang w:val="sq-AL" w:eastAsia="en-US" w:bidi="ar-SA"/>
    </w:rPr>
  </w:style>
  <w:style w:styleId="TableParagraph" w:type="paragraph">
    <w:name w:val="Table Paragraph"/>
    <w:basedOn w:val="Normal"/>
    <w:uiPriority w:val="1"/>
    <w:qFormat/>
    <w:pPr/>
    <w:rPr>
      <w:lang w:val="sq-AL"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image" Target="media/image3.jpeg"/><Relationship Id="rId4" Type="http://schemas.openxmlformats.org/officeDocument/2006/relationships/image" Target="media/image4.png"/><Relationship Id="rId5"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Ardita</dc:creator>
  <dcterms:created xsi:type="dcterms:W3CDTF">2023-01-17T16:14:35Z</dcterms:created>
  <dcterms:modified xsi:type="dcterms:W3CDTF">2023-01-17T16:14:35Z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2023-01-17T00:00:00Z</vt:filetime>
  </property>
  <property fmtid="{D5CDD505-2E9C-101B-9397-08002B2CF9AE}" pid="3" name="Creator">
    <vt:lpwstr>Acrobat PDFMaker 11 for Word</vt:lpwstr>
  </property>
  <property fmtid="{D5CDD505-2E9C-101B-9397-08002B2CF9AE}" pid="4" name="LastSaved">
    <vt:filetime>2023-01-17T00:00:00Z</vt:filetime>
  </property>
  <property fmtid="{D5CDD505-2E9C-101B-9397-08002B2CF9AE}" pid="5" name="Producer">
    <vt:lpwstr>Adobe PDF Library 11.0</vt:lpwstr>
  </property>
  <property fmtid="{D5CDD505-2E9C-101B-9397-08002B2CF9AE}" pid="6" name="SourceModified">
    <vt:lpwstr>D:20230117112357</vt:lpwstr>
  </property>
</Properties>
</file>